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E64" w:rsidRDefault="00480218">
      <w:pPr>
        <w:pStyle w:val="BodyText"/>
        <w:spacing w:before="0"/>
        <w:ind w:left="2835"/>
        <w:jc w:val="left"/>
        <w:rPr>
          <w:rFonts w:ascii="Times New Roman"/>
          <w:sz w:val="20"/>
        </w:rPr>
      </w:pPr>
      <w:r>
        <w:rPr>
          <w:noProof/>
          <w:lang w:bidi="ar-SA"/>
        </w:rPr>
        <w:drawing>
          <wp:anchor distT="0" distB="0" distL="114300" distR="114300" simplePos="0" relativeHeight="251659264" behindDoc="1" locked="0" layoutInCell="1" allowOverlap="1" wp14:anchorId="36070055" wp14:editId="45A47DC4">
            <wp:simplePos x="0" y="0"/>
            <wp:positionH relativeFrom="column">
              <wp:posOffset>2011680</wp:posOffset>
            </wp:positionH>
            <wp:positionV relativeFrom="paragraph">
              <wp:posOffset>-65950</wp:posOffset>
            </wp:positionV>
            <wp:extent cx="3025146" cy="638557"/>
            <wp:effectExtent l="0" t="0" r="3810" b="952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25146" cy="638557"/>
                    </a:xfrm>
                    <a:prstGeom prst="rect">
                      <a:avLst/>
                    </a:prstGeom>
                  </pic:spPr>
                </pic:pic>
              </a:graphicData>
            </a:graphic>
            <wp14:sizeRelH relativeFrom="page">
              <wp14:pctWidth>0</wp14:pctWidth>
            </wp14:sizeRelH>
            <wp14:sizeRelV relativeFrom="page">
              <wp14:pctHeight>0</wp14:pctHeight>
            </wp14:sizeRelV>
          </wp:anchor>
        </w:drawing>
      </w:r>
    </w:p>
    <w:p w:rsidR="002A3E64" w:rsidRDefault="002A3E64">
      <w:pPr>
        <w:pStyle w:val="BodyText"/>
        <w:spacing w:before="4"/>
        <w:ind w:left="0"/>
        <w:jc w:val="left"/>
        <w:rPr>
          <w:rFonts w:ascii="Times New Roman"/>
          <w:sz w:val="24"/>
        </w:rPr>
      </w:pPr>
    </w:p>
    <w:p w:rsidR="00480218" w:rsidRDefault="00480218">
      <w:pPr>
        <w:spacing w:before="88" w:line="459" w:lineRule="exact"/>
        <w:ind w:left="1610" w:right="1608"/>
        <w:jc w:val="center"/>
        <w:rPr>
          <w:b/>
          <w:sz w:val="40"/>
        </w:rPr>
      </w:pPr>
    </w:p>
    <w:p w:rsidR="002A3E64" w:rsidRDefault="00480218" w:rsidP="00FC3F9A">
      <w:pPr>
        <w:ind w:right="-30"/>
        <w:jc w:val="center"/>
        <w:rPr>
          <w:b/>
          <w:sz w:val="40"/>
        </w:rPr>
      </w:pPr>
      <w:proofErr w:type="spellStart"/>
      <w:r>
        <w:rPr>
          <w:b/>
          <w:sz w:val="40"/>
        </w:rPr>
        <w:t>Kolchins</w:t>
      </w:r>
      <w:proofErr w:type="spellEnd"/>
      <w:r w:rsidR="0074488A">
        <w:rPr>
          <w:b/>
          <w:sz w:val="40"/>
        </w:rPr>
        <w:t xml:space="preserve"> v. </w:t>
      </w:r>
      <w:r>
        <w:rPr>
          <w:b/>
          <w:sz w:val="40"/>
        </w:rPr>
        <w:t>Evolution Markets</w:t>
      </w:r>
      <w:r w:rsidR="0074488A">
        <w:rPr>
          <w:b/>
          <w:sz w:val="40"/>
        </w:rPr>
        <w:t xml:space="preserve"> Case Brief Summary</w:t>
      </w:r>
    </w:p>
    <w:p w:rsidR="002A3E64" w:rsidRDefault="00480218" w:rsidP="00FC3F9A">
      <w:pPr>
        <w:pStyle w:val="BodyText"/>
        <w:spacing w:before="0"/>
        <w:ind w:left="1609" w:right="1608"/>
        <w:jc w:val="center"/>
      </w:pPr>
      <w:r>
        <w:t xml:space="preserve">Case Brief </w:t>
      </w:r>
      <w:r w:rsidR="0074488A">
        <w:t xml:space="preserve">Summary </w:t>
      </w:r>
    </w:p>
    <w:p w:rsidR="002A3E64" w:rsidRDefault="00480218" w:rsidP="00FC3F9A">
      <w:pPr>
        <w:pStyle w:val="BodyText"/>
        <w:spacing w:before="0"/>
        <w:ind w:left="1609" w:right="1608"/>
        <w:jc w:val="center"/>
      </w:pPr>
      <w:r>
        <w:t>128 AD3d 47</w:t>
      </w:r>
      <w:r w:rsidR="0074488A">
        <w:t xml:space="preserve"> (</w:t>
      </w:r>
      <w:r>
        <w:t>2015</w:t>
      </w:r>
      <w:r w:rsidR="0074488A">
        <w:t>).</w:t>
      </w:r>
    </w:p>
    <w:p w:rsidR="002A3E64" w:rsidRDefault="002A3E64" w:rsidP="00FC3F9A">
      <w:pPr>
        <w:pStyle w:val="BodyText"/>
        <w:spacing w:before="0"/>
        <w:ind w:left="0"/>
        <w:jc w:val="left"/>
        <w:rPr>
          <w:sz w:val="27"/>
        </w:rPr>
      </w:pPr>
    </w:p>
    <w:p w:rsidR="00B87F47" w:rsidRDefault="00B87F47" w:rsidP="00FC3F9A">
      <w:pPr>
        <w:pStyle w:val="Heading1"/>
        <w:rPr>
          <w:color w:val="C00000"/>
          <w:sz w:val="20"/>
          <w:szCs w:val="20"/>
        </w:rPr>
        <w:sectPr w:rsidR="00B87F47">
          <w:pgSz w:w="12240" w:h="15840"/>
          <w:pgMar w:top="640" w:right="600" w:bottom="280" w:left="600" w:header="720" w:footer="720" w:gutter="0"/>
          <w:cols w:space="720"/>
        </w:sectPr>
      </w:pPr>
    </w:p>
    <w:p w:rsidR="002A3E64" w:rsidRPr="00FC3F9A" w:rsidRDefault="0074488A" w:rsidP="00FC3F9A">
      <w:pPr>
        <w:pStyle w:val="Heading1"/>
        <w:ind w:left="0"/>
        <w:rPr>
          <w:color w:val="C00000"/>
          <w:sz w:val="22"/>
          <w:szCs w:val="22"/>
        </w:rPr>
      </w:pPr>
      <w:r w:rsidRPr="00FC3F9A">
        <w:rPr>
          <w:color w:val="C00000"/>
          <w:sz w:val="22"/>
          <w:szCs w:val="22"/>
        </w:rPr>
        <w:t>Facts</w:t>
      </w:r>
    </w:p>
    <w:p w:rsidR="00AC486C" w:rsidRPr="00FC3F9A" w:rsidRDefault="00AC486C" w:rsidP="00FC3F9A">
      <w:pPr>
        <w:pStyle w:val="BodyText"/>
        <w:spacing w:before="0"/>
        <w:ind w:right="112" w:hanging="1"/>
        <w:rPr>
          <w:sz w:val="22"/>
          <w:szCs w:val="22"/>
        </w:rPr>
      </w:pPr>
    </w:p>
    <w:p w:rsidR="00045786" w:rsidRPr="00FC3F9A" w:rsidRDefault="00045786" w:rsidP="00FC3F9A">
      <w:pPr>
        <w:adjustRightInd w:val="0"/>
        <w:jc w:val="both"/>
        <w:rPr>
          <w:color w:val="000000"/>
        </w:rPr>
      </w:pPr>
      <w:r w:rsidRPr="00FC3F9A">
        <w:rPr>
          <w:color w:val="000000"/>
        </w:rPr>
        <w:t xml:space="preserve">This is an appeal of an action arising out of an alleged breach of contract. </w:t>
      </w:r>
    </w:p>
    <w:p w:rsidR="00045786" w:rsidRPr="00FC3F9A" w:rsidRDefault="00045786" w:rsidP="00FC3F9A">
      <w:pPr>
        <w:adjustRightInd w:val="0"/>
        <w:jc w:val="both"/>
        <w:rPr>
          <w:color w:val="000000"/>
        </w:rPr>
      </w:pPr>
    </w:p>
    <w:p w:rsidR="00045786" w:rsidRPr="00FC3F9A" w:rsidRDefault="00045786" w:rsidP="00FC3F9A">
      <w:pPr>
        <w:adjustRightInd w:val="0"/>
        <w:jc w:val="both"/>
        <w:rPr>
          <w:color w:val="000000"/>
        </w:rPr>
      </w:pPr>
      <w:r w:rsidRPr="00FC3F9A">
        <w:rPr>
          <w:color w:val="000000"/>
        </w:rPr>
        <w:t xml:space="preserve">It concerns plaintiff Andrew </w:t>
      </w:r>
      <w:proofErr w:type="spellStart"/>
      <w:r w:rsidRPr="00FC3F9A">
        <w:rPr>
          <w:color w:val="000000"/>
        </w:rPr>
        <w:t>Kolchins's</w:t>
      </w:r>
      <w:proofErr w:type="spellEnd"/>
      <w:r w:rsidRPr="00FC3F9A">
        <w:rPr>
          <w:color w:val="000000"/>
        </w:rPr>
        <w:t xml:space="preserve"> employment with defendant Evolutions Markets, Inc., an international finance </w:t>
      </w:r>
      <w:proofErr w:type="gramStart"/>
      <w:r w:rsidRPr="00FC3F9A">
        <w:rPr>
          <w:color w:val="000000"/>
        </w:rPr>
        <w:t>firm  structures</w:t>
      </w:r>
      <w:proofErr w:type="gramEnd"/>
      <w:r w:rsidRPr="00FC3F9A">
        <w:rPr>
          <w:color w:val="000000"/>
        </w:rPr>
        <w:t xml:space="preserve"> transactions and provides brokerage and advisory services in the global environmental and energy commodities marketplace.  Plaintiff joined defendant in 2005. </w:t>
      </w:r>
    </w:p>
    <w:p w:rsidR="00045786" w:rsidRPr="00FC3F9A" w:rsidRDefault="00045786" w:rsidP="00FC3F9A">
      <w:pPr>
        <w:adjustRightInd w:val="0"/>
        <w:jc w:val="both"/>
        <w:rPr>
          <w:color w:val="000000"/>
        </w:rPr>
      </w:pPr>
    </w:p>
    <w:p w:rsidR="00045786" w:rsidRPr="00FC3F9A" w:rsidRDefault="00045786" w:rsidP="00FC3F9A">
      <w:pPr>
        <w:adjustRightInd w:val="0"/>
        <w:jc w:val="both"/>
        <w:rPr>
          <w:color w:val="000000"/>
        </w:rPr>
      </w:pPr>
      <w:r w:rsidRPr="00FC3F9A">
        <w:rPr>
          <w:color w:val="000000"/>
        </w:rPr>
        <w:t xml:space="preserve">The most recent employment agreement between defendant and plaintiff commenced on September 1, 2009 and ended on August 31, 2012. Before its expiration, the parties engaged in correspondence with regard to an extension of the agreement. </w:t>
      </w:r>
    </w:p>
    <w:p w:rsidR="00045786" w:rsidRPr="00FC3F9A" w:rsidRDefault="00045786" w:rsidP="00FC3F9A">
      <w:pPr>
        <w:adjustRightInd w:val="0"/>
        <w:jc w:val="both"/>
        <w:rPr>
          <w:color w:val="000000"/>
        </w:rPr>
      </w:pPr>
    </w:p>
    <w:p w:rsidR="00045786" w:rsidRPr="00FC3F9A" w:rsidRDefault="00045786" w:rsidP="00FC3F9A">
      <w:pPr>
        <w:pStyle w:val="Heading1"/>
        <w:ind w:left="0"/>
        <w:rPr>
          <w:color w:val="C00000"/>
          <w:sz w:val="22"/>
          <w:szCs w:val="22"/>
        </w:rPr>
      </w:pPr>
      <w:r w:rsidRPr="00FC3F9A">
        <w:rPr>
          <w:color w:val="C00000"/>
          <w:sz w:val="22"/>
          <w:szCs w:val="22"/>
        </w:rPr>
        <w:t>Issue:</w:t>
      </w:r>
    </w:p>
    <w:p w:rsidR="00045786" w:rsidRPr="00FC3F9A" w:rsidRDefault="00045786" w:rsidP="00FC3F9A">
      <w:pPr>
        <w:adjustRightInd w:val="0"/>
        <w:jc w:val="both"/>
        <w:rPr>
          <w:color w:val="000000"/>
        </w:rPr>
      </w:pPr>
    </w:p>
    <w:p w:rsidR="00045786" w:rsidRPr="00FC3F9A" w:rsidRDefault="00045786" w:rsidP="00FC3F9A">
      <w:pPr>
        <w:adjustRightInd w:val="0"/>
        <w:jc w:val="both"/>
        <w:rPr>
          <w:color w:val="000000"/>
        </w:rPr>
      </w:pPr>
      <w:r w:rsidRPr="00FC3F9A">
        <w:rPr>
          <w:color w:val="000000"/>
        </w:rPr>
        <w:t xml:space="preserve">The question the court determined was whether the parties' emails and other correspondence can be viewed as constituting a binding offer and acceptance of an extension of the 2009 employment agreement, such that in the absence of a formal contract, they created a legally enforceable employment contract. </w:t>
      </w:r>
    </w:p>
    <w:p w:rsidR="00045786" w:rsidRPr="00FC3F9A" w:rsidRDefault="00045786" w:rsidP="00FC3F9A">
      <w:pPr>
        <w:adjustRightInd w:val="0"/>
        <w:jc w:val="both"/>
        <w:rPr>
          <w:color w:val="000000"/>
        </w:rPr>
      </w:pPr>
    </w:p>
    <w:p w:rsidR="00F52F05" w:rsidRPr="00FC3F9A" w:rsidRDefault="00F52F05" w:rsidP="00FC3F9A">
      <w:pPr>
        <w:jc w:val="both"/>
      </w:pPr>
      <w:r w:rsidRPr="00FC3F9A">
        <w:rPr>
          <w:b/>
          <w:color w:val="C00000"/>
        </w:rPr>
        <w:t>Holding and Rule</w:t>
      </w:r>
      <w:r w:rsidRPr="00FC3F9A">
        <w:rPr>
          <w:b/>
        </w:rPr>
        <w:t xml:space="preserve"> </w:t>
      </w:r>
    </w:p>
    <w:p w:rsidR="00F52F05" w:rsidRPr="00FC3F9A" w:rsidRDefault="00F52F05" w:rsidP="00FC3F9A">
      <w:pPr>
        <w:ind w:left="120"/>
        <w:jc w:val="both"/>
      </w:pPr>
    </w:p>
    <w:p w:rsidR="00F52F05" w:rsidRPr="00FC3F9A" w:rsidRDefault="00F52F05" w:rsidP="00FC3F9A">
      <w:pPr>
        <w:adjustRightInd w:val="0"/>
        <w:jc w:val="both"/>
        <w:rPr>
          <w:color w:val="000000"/>
        </w:rPr>
      </w:pPr>
      <w:r w:rsidRPr="00FC3F9A">
        <w:t xml:space="preserve">(Opinion written by Appellate Division Justice </w:t>
      </w:r>
      <w:r w:rsidRPr="00FC3F9A">
        <w:rPr>
          <w:rStyle w:val="st"/>
        </w:rPr>
        <w:t xml:space="preserve">Dianne </w:t>
      </w:r>
      <w:r w:rsidRPr="00FC3F9A">
        <w:rPr>
          <w:rStyle w:val="Emphasis"/>
        </w:rPr>
        <w:t>Renwick</w:t>
      </w:r>
      <w:r w:rsidRPr="00FC3F9A">
        <w:t>)</w:t>
      </w:r>
    </w:p>
    <w:p w:rsidR="00F52F05" w:rsidRPr="00FC3F9A" w:rsidRDefault="00F52F05" w:rsidP="00FC3F9A">
      <w:pPr>
        <w:adjustRightInd w:val="0"/>
        <w:jc w:val="both"/>
        <w:rPr>
          <w:color w:val="000000"/>
        </w:rPr>
      </w:pPr>
    </w:p>
    <w:p w:rsidR="00045786" w:rsidRPr="00FC3F9A" w:rsidRDefault="00F52F05" w:rsidP="00FC3F9A">
      <w:pPr>
        <w:adjustRightInd w:val="0"/>
        <w:jc w:val="both"/>
        <w:rPr>
          <w:color w:val="000000"/>
        </w:rPr>
      </w:pPr>
      <w:r w:rsidRPr="00FC3F9A">
        <w:rPr>
          <w:color w:val="000000"/>
        </w:rPr>
        <w:t>The court found</w:t>
      </w:r>
      <w:r w:rsidR="00045786" w:rsidRPr="00FC3F9A">
        <w:rPr>
          <w:color w:val="000000"/>
        </w:rPr>
        <w:t xml:space="preserve"> that the documentary evidence </w:t>
      </w:r>
      <w:r w:rsidRPr="00FC3F9A">
        <w:rPr>
          <w:color w:val="000000"/>
        </w:rPr>
        <w:t>in the case did</w:t>
      </w:r>
      <w:r w:rsidR="00045786" w:rsidRPr="00FC3F9A">
        <w:rPr>
          <w:color w:val="000000"/>
        </w:rPr>
        <w:t xml:space="preserve"> not utterly refute plaintiff's factual allegations that the parties reached an agreement on the material terms of a contract renewal, </w:t>
      </w:r>
      <w:r w:rsidRPr="00FC3F9A">
        <w:rPr>
          <w:color w:val="000000"/>
        </w:rPr>
        <w:t>it</w:t>
      </w:r>
      <w:r w:rsidR="00045786" w:rsidRPr="00FC3F9A">
        <w:rPr>
          <w:color w:val="000000"/>
        </w:rPr>
        <w:t xml:space="preserve"> conclude</w:t>
      </w:r>
      <w:r w:rsidRPr="00FC3F9A">
        <w:rPr>
          <w:color w:val="000000"/>
        </w:rPr>
        <w:t>d</w:t>
      </w:r>
      <w:r w:rsidR="00045786" w:rsidRPr="00FC3F9A">
        <w:rPr>
          <w:color w:val="000000"/>
        </w:rPr>
        <w:t xml:space="preserve"> that Supreme Court properly denied defendant's motion, pursuant to CPLR 3211 (a) (1), to dismiss the first cause of action for breach of contract.</w:t>
      </w:r>
    </w:p>
    <w:p w:rsidR="00F52F05" w:rsidRPr="00FC3F9A" w:rsidRDefault="00F52F05" w:rsidP="00FC3F9A">
      <w:pPr>
        <w:adjustRightInd w:val="0"/>
        <w:jc w:val="both"/>
        <w:rPr>
          <w:color w:val="000000"/>
        </w:rPr>
      </w:pPr>
    </w:p>
    <w:p w:rsidR="00F52F05" w:rsidRDefault="00F52F05" w:rsidP="00FC3F9A">
      <w:pPr>
        <w:adjustRightInd w:val="0"/>
        <w:jc w:val="both"/>
        <w:rPr>
          <w:color w:val="000000"/>
        </w:rPr>
      </w:pPr>
      <w:r w:rsidRPr="00FC3F9A">
        <w:rPr>
          <w:color w:val="000000"/>
        </w:rPr>
        <w:t>The court further held that:</w:t>
      </w:r>
    </w:p>
    <w:p w:rsidR="00C21375" w:rsidRPr="00C21375" w:rsidRDefault="00C21375" w:rsidP="00FC3F9A">
      <w:pPr>
        <w:adjustRightInd w:val="0"/>
        <w:jc w:val="both"/>
        <w:rPr>
          <w:color w:val="000000"/>
          <w:sz w:val="10"/>
          <w:szCs w:val="10"/>
        </w:rPr>
      </w:pPr>
    </w:p>
    <w:p w:rsidR="00F52F05" w:rsidRDefault="00F52F05" w:rsidP="00FC3F9A">
      <w:pPr>
        <w:pStyle w:val="ListParagraph"/>
        <w:numPr>
          <w:ilvl w:val="0"/>
          <w:numId w:val="3"/>
        </w:numPr>
        <w:adjustRightInd w:val="0"/>
        <w:spacing w:before="0"/>
        <w:ind w:left="360"/>
      </w:pPr>
      <w:r w:rsidRPr="00FC3F9A">
        <w:t>When viewed in light of contract law principles that an offer is the manifestation of willingness to enter into a bargain, so made as to justify another person in understanding that his assent to that bargain is invited and will conclude it;</w:t>
      </w:r>
    </w:p>
    <w:p w:rsidR="00C21375" w:rsidRPr="00C21375" w:rsidRDefault="00C21375" w:rsidP="00C21375">
      <w:pPr>
        <w:pStyle w:val="ListParagraph"/>
        <w:adjustRightInd w:val="0"/>
        <w:spacing w:before="0"/>
        <w:ind w:left="360"/>
        <w:rPr>
          <w:sz w:val="10"/>
          <w:szCs w:val="10"/>
        </w:rPr>
      </w:pPr>
    </w:p>
    <w:p w:rsidR="00FC3F9A" w:rsidRDefault="00F52F05" w:rsidP="00FC3F9A">
      <w:pPr>
        <w:pStyle w:val="ListParagraph"/>
        <w:numPr>
          <w:ilvl w:val="0"/>
          <w:numId w:val="3"/>
        </w:numPr>
        <w:adjustRightInd w:val="0"/>
        <w:spacing w:before="0"/>
        <w:ind w:left="360"/>
      </w:pPr>
      <w:r w:rsidRPr="00FC3F9A">
        <w:t>That as a general rule, in order for an acceptance to be effective, it must comply with the terms of the offer and be clear,</w:t>
      </w:r>
      <w:r w:rsidRPr="00FC3F9A">
        <w:rPr>
          <w:b/>
          <w:bCs/>
        </w:rPr>
        <w:t xml:space="preserve"> </w:t>
      </w:r>
      <w:r w:rsidRPr="00FC3F9A">
        <w:t xml:space="preserve">unambiguous and unequivocal, and that </w:t>
      </w:r>
      <w:r w:rsidR="00FC3F9A" w:rsidRPr="00FC3F9A">
        <w:t>plaintiff's subsequent purported acceptance by his July 16, 2012 email stating that "I accept [please] send [the] contract," must be interpreted as an acceptance of the offer;</w:t>
      </w:r>
    </w:p>
    <w:p w:rsidR="00C21375" w:rsidRPr="00C21375" w:rsidRDefault="00C21375" w:rsidP="00C21375">
      <w:pPr>
        <w:pStyle w:val="ListParagraph"/>
        <w:adjustRightInd w:val="0"/>
        <w:spacing w:before="0"/>
        <w:ind w:left="360"/>
        <w:rPr>
          <w:sz w:val="10"/>
          <w:szCs w:val="10"/>
        </w:rPr>
      </w:pPr>
    </w:p>
    <w:p w:rsidR="00FC3F9A" w:rsidRDefault="00FC3F9A" w:rsidP="00FC3F9A">
      <w:pPr>
        <w:pStyle w:val="ListParagraph"/>
        <w:numPr>
          <w:ilvl w:val="0"/>
          <w:numId w:val="3"/>
        </w:numPr>
        <w:adjustRightInd w:val="0"/>
        <w:spacing w:before="0"/>
        <w:ind w:left="360"/>
      </w:pPr>
      <w:r w:rsidRPr="00FC3F9A">
        <w:t xml:space="preserve">That </w:t>
      </w:r>
      <w:r>
        <w:t>t</w:t>
      </w:r>
      <w:r w:rsidRPr="00FC3F9A">
        <w:t>he law is clear, that although the parties may intend to enter into a contract, if essential terms are omitted from their agreement, or if some of the terms included are too indefinite, no legally enforceable contract will result, but it is also plain that all the terms contemplated by the agreement need not be fixed with complete and perfect certainty for a contract to have legal efficacy;</w:t>
      </w:r>
    </w:p>
    <w:p w:rsidR="00C21375" w:rsidRPr="00C21375" w:rsidRDefault="00C21375" w:rsidP="00C21375">
      <w:pPr>
        <w:pStyle w:val="ListParagraph"/>
        <w:adjustRightInd w:val="0"/>
        <w:spacing w:before="0"/>
        <w:ind w:left="360"/>
        <w:rPr>
          <w:sz w:val="10"/>
          <w:szCs w:val="10"/>
        </w:rPr>
      </w:pPr>
    </w:p>
    <w:p w:rsidR="00FC3F9A" w:rsidRDefault="00FC3F9A" w:rsidP="00FC3F9A">
      <w:pPr>
        <w:pStyle w:val="ListParagraph"/>
        <w:numPr>
          <w:ilvl w:val="0"/>
          <w:numId w:val="3"/>
        </w:numPr>
        <w:adjustRightInd w:val="0"/>
        <w:spacing w:before="0"/>
        <w:ind w:left="360"/>
      </w:pPr>
      <w:r w:rsidRPr="00FC3F9A">
        <w:t>That in this case, it appears that all of the terms essential to the agreement were specified in the June 15, 2012 email intended to be an offer, and which plaintiff accepted;</w:t>
      </w:r>
    </w:p>
    <w:p w:rsidR="00C21375" w:rsidRPr="00C21375" w:rsidRDefault="00C21375" w:rsidP="00C21375">
      <w:pPr>
        <w:pStyle w:val="ListParagraph"/>
        <w:adjustRightInd w:val="0"/>
        <w:spacing w:before="0"/>
        <w:ind w:left="360"/>
        <w:rPr>
          <w:sz w:val="10"/>
          <w:szCs w:val="10"/>
        </w:rPr>
      </w:pPr>
    </w:p>
    <w:p w:rsidR="00FC3F9A" w:rsidRDefault="00FC3F9A" w:rsidP="00FC3F9A">
      <w:pPr>
        <w:pStyle w:val="ListParagraph"/>
        <w:numPr>
          <w:ilvl w:val="0"/>
          <w:numId w:val="3"/>
        </w:numPr>
        <w:adjustRightInd w:val="0"/>
        <w:spacing w:before="0"/>
        <w:ind w:left="360"/>
      </w:pPr>
      <w:r w:rsidRPr="00FC3F9A">
        <w:t>That the initial proposed changes appeared to be simple clarifications and modifications that would not necessarily indicate a lack of meeting of the minds on the essential terms;</w:t>
      </w:r>
    </w:p>
    <w:p w:rsidR="00C21375" w:rsidRPr="00C21375" w:rsidRDefault="00C21375" w:rsidP="00C21375">
      <w:pPr>
        <w:pStyle w:val="ListParagraph"/>
        <w:adjustRightInd w:val="0"/>
        <w:spacing w:before="0"/>
        <w:ind w:left="360"/>
        <w:rPr>
          <w:sz w:val="10"/>
          <w:szCs w:val="10"/>
        </w:rPr>
      </w:pPr>
    </w:p>
    <w:p w:rsidR="00F52F05" w:rsidRPr="00FC3F9A" w:rsidRDefault="00FC3F9A" w:rsidP="00FC3F9A">
      <w:pPr>
        <w:pStyle w:val="ListParagraph"/>
        <w:numPr>
          <w:ilvl w:val="0"/>
          <w:numId w:val="3"/>
        </w:numPr>
        <w:adjustRightInd w:val="0"/>
        <w:spacing w:before="0"/>
        <w:ind w:left="360"/>
      </w:pPr>
      <w:r w:rsidRPr="00FC3F9A">
        <w:t>That although no contract can come into existence without "a manifestation of mutual assent to its essential terms</w:t>
      </w:r>
      <w:r w:rsidR="00B277F7">
        <w:t>”</w:t>
      </w:r>
      <w:bookmarkStart w:id="0" w:name="_GoBack"/>
      <w:bookmarkEnd w:id="0"/>
      <w:r w:rsidRPr="00FC3F9A">
        <w:t>, all the essential terms of this contract were agreed to by the parties.</w:t>
      </w:r>
    </w:p>
    <w:p w:rsidR="002A3E64" w:rsidRPr="00FC3F9A" w:rsidRDefault="002A3E64" w:rsidP="00FC3F9A">
      <w:pPr>
        <w:pStyle w:val="BodyText"/>
        <w:spacing w:before="0"/>
        <w:ind w:left="0" w:right="115"/>
        <w:rPr>
          <w:sz w:val="22"/>
          <w:szCs w:val="22"/>
        </w:rPr>
      </w:pPr>
    </w:p>
    <w:sectPr w:rsidR="002A3E64" w:rsidRPr="00FC3F9A" w:rsidSect="00B87F47">
      <w:type w:val="continuous"/>
      <w:pgSz w:w="12240" w:h="15840"/>
      <w:pgMar w:top="64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81AE2"/>
    <w:multiLevelType w:val="hybridMultilevel"/>
    <w:tmpl w:val="27B6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287F60"/>
    <w:multiLevelType w:val="hybridMultilevel"/>
    <w:tmpl w:val="9A008A86"/>
    <w:lvl w:ilvl="0" w:tplc="A5D8F7E2">
      <w:numFmt w:val="bullet"/>
      <w:lvlText w:val="•"/>
      <w:lvlJc w:val="left"/>
      <w:pPr>
        <w:ind w:left="120" w:hanging="178"/>
      </w:pPr>
      <w:rPr>
        <w:rFonts w:ascii="Arial" w:eastAsia="Arial" w:hAnsi="Arial" w:cs="Arial" w:hint="default"/>
        <w:w w:val="100"/>
        <w:sz w:val="28"/>
        <w:szCs w:val="28"/>
        <w:lang w:val="en-US" w:eastAsia="en-US" w:bidi="en-US"/>
      </w:rPr>
    </w:lvl>
    <w:lvl w:ilvl="1" w:tplc="2ED4E6AC">
      <w:numFmt w:val="bullet"/>
      <w:lvlText w:val="•"/>
      <w:lvlJc w:val="left"/>
      <w:pPr>
        <w:ind w:left="1212" w:hanging="178"/>
      </w:pPr>
      <w:rPr>
        <w:rFonts w:hint="default"/>
        <w:lang w:val="en-US" w:eastAsia="en-US" w:bidi="en-US"/>
      </w:rPr>
    </w:lvl>
    <w:lvl w:ilvl="2" w:tplc="18967984">
      <w:numFmt w:val="bullet"/>
      <w:lvlText w:val="•"/>
      <w:lvlJc w:val="left"/>
      <w:pPr>
        <w:ind w:left="2304" w:hanging="178"/>
      </w:pPr>
      <w:rPr>
        <w:rFonts w:hint="default"/>
        <w:lang w:val="en-US" w:eastAsia="en-US" w:bidi="en-US"/>
      </w:rPr>
    </w:lvl>
    <w:lvl w:ilvl="3" w:tplc="26366512">
      <w:numFmt w:val="bullet"/>
      <w:lvlText w:val="•"/>
      <w:lvlJc w:val="left"/>
      <w:pPr>
        <w:ind w:left="3396" w:hanging="178"/>
      </w:pPr>
      <w:rPr>
        <w:rFonts w:hint="default"/>
        <w:lang w:val="en-US" w:eastAsia="en-US" w:bidi="en-US"/>
      </w:rPr>
    </w:lvl>
    <w:lvl w:ilvl="4" w:tplc="D4BCE600">
      <w:numFmt w:val="bullet"/>
      <w:lvlText w:val="•"/>
      <w:lvlJc w:val="left"/>
      <w:pPr>
        <w:ind w:left="4488" w:hanging="178"/>
      </w:pPr>
      <w:rPr>
        <w:rFonts w:hint="default"/>
        <w:lang w:val="en-US" w:eastAsia="en-US" w:bidi="en-US"/>
      </w:rPr>
    </w:lvl>
    <w:lvl w:ilvl="5" w:tplc="45A89BCA">
      <w:numFmt w:val="bullet"/>
      <w:lvlText w:val="•"/>
      <w:lvlJc w:val="left"/>
      <w:pPr>
        <w:ind w:left="5580" w:hanging="178"/>
      </w:pPr>
      <w:rPr>
        <w:rFonts w:hint="default"/>
        <w:lang w:val="en-US" w:eastAsia="en-US" w:bidi="en-US"/>
      </w:rPr>
    </w:lvl>
    <w:lvl w:ilvl="6" w:tplc="FD9264BE">
      <w:numFmt w:val="bullet"/>
      <w:lvlText w:val="•"/>
      <w:lvlJc w:val="left"/>
      <w:pPr>
        <w:ind w:left="6672" w:hanging="178"/>
      </w:pPr>
      <w:rPr>
        <w:rFonts w:hint="default"/>
        <w:lang w:val="en-US" w:eastAsia="en-US" w:bidi="en-US"/>
      </w:rPr>
    </w:lvl>
    <w:lvl w:ilvl="7" w:tplc="382A01E4">
      <w:numFmt w:val="bullet"/>
      <w:lvlText w:val="•"/>
      <w:lvlJc w:val="left"/>
      <w:pPr>
        <w:ind w:left="7764" w:hanging="178"/>
      </w:pPr>
      <w:rPr>
        <w:rFonts w:hint="default"/>
        <w:lang w:val="en-US" w:eastAsia="en-US" w:bidi="en-US"/>
      </w:rPr>
    </w:lvl>
    <w:lvl w:ilvl="8" w:tplc="CAE0AE68">
      <w:numFmt w:val="bullet"/>
      <w:lvlText w:val="•"/>
      <w:lvlJc w:val="left"/>
      <w:pPr>
        <w:ind w:left="8856" w:hanging="178"/>
      </w:pPr>
      <w:rPr>
        <w:rFonts w:hint="default"/>
        <w:lang w:val="en-US" w:eastAsia="en-US" w:bidi="en-US"/>
      </w:rPr>
    </w:lvl>
  </w:abstractNum>
  <w:abstractNum w:abstractNumId="2" w15:restartNumberingAfterBreak="0">
    <w:nsid w:val="7A5C648C"/>
    <w:multiLevelType w:val="hybridMultilevel"/>
    <w:tmpl w:val="36DC23E0"/>
    <w:lvl w:ilvl="0" w:tplc="8D5A3F18">
      <w:numFmt w:val="bullet"/>
      <w:lvlText w:val="-"/>
      <w:lvlJc w:val="left"/>
      <w:pPr>
        <w:ind w:left="120" w:hanging="207"/>
      </w:pPr>
      <w:rPr>
        <w:rFonts w:ascii="Arial" w:eastAsia="Arial" w:hAnsi="Arial" w:cs="Arial" w:hint="default"/>
        <w:w w:val="100"/>
        <w:sz w:val="28"/>
        <w:szCs w:val="28"/>
        <w:lang w:val="en-US" w:eastAsia="en-US" w:bidi="en-US"/>
      </w:rPr>
    </w:lvl>
    <w:lvl w:ilvl="1" w:tplc="0D6AEDA0">
      <w:numFmt w:val="bullet"/>
      <w:lvlText w:val="•"/>
      <w:lvlJc w:val="left"/>
      <w:pPr>
        <w:ind w:left="1212" w:hanging="207"/>
      </w:pPr>
      <w:rPr>
        <w:rFonts w:hint="default"/>
        <w:lang w:val="en-US" w:eastAsia="en-US" w:bidi="en-US"/>
      </w:rPr>
    </w:lvl>
    <w:lvl w:ilvl="2" w:tplc="DC04098A">
      <w:numFmt w:val="bullet"/>
      <w:lvlText w:val="•"/>
      <w:lvlJc w:val="left"/>
      <w:pPr>
        <w:ind w:left="2304" w:hanging="207"/>
      </w:pPr>
      <w:rPr>
        <w:rFonts w:hint="default"/>
        <w:lang w:val="en-US" w:eastAsia="en-US" w:bidi="en-US"/>
      </w:rPr>
    </w:lvl>
    <w:lvl w:ilvl="3" w:tplc="469AF6BC">
      <w:numFmt w:val="bullet"/>
      <w:lvlText w:val="•"/>
      <w:lvlJc w:val="left"/>
      <w:pPr>
        <w:ind w:left="3396" w:hanging="207"/>
      </w:pPr>
      <w:rPr>
        <w:rFonts w:hint="default"/>
        <w:lang w:val="en-US" w:eastAsia="en-US" w:bidi="en-US"/>
      </w:rPr>
    </w:lvl>
    <w:lvl w:ilvl="4" w:tplc="2E9449A6">
      <w:numFmt w:val="bullet"/>
      <w:lvlText w:val="•"/>
      <w:lvlJc w:val="left"/>
      <w:pPr>
        <w:ind w:left="4488" w:hanging="207"/>
      </w:pPr>
      <w:rPr>
        <w:rFonts w:hint="default"/>
        <w:lang w:val="en-US" w:eastAsia="en-US" w:bidi="en-US"/>
      </w:rPr>
    </w:lvl>
    <w:lvl w:ilvl="5" w:tplc="DACA2088">
      <w:numFmt w:val="bullet"/>
      <w:lvlText w:val="•"/>
      <w:lvlJc w:val="left"/>
      <w:pPr>
        <w:ind w:left="5580" w:hanging="207"/>
      </w:pPr>
      <w:rPr>
        <w:rFonts w:hint="default"/>
        <w:lang w:val="en-US" w:eastAsia="en-US" w:bidi="en-US"/>
      </w:rPr>
    </w:lvl>
    <w:lvl w:ilvl="6" w:tplc="4300BAF0">
      <w:numFmt w:val="bullet"/>
      <w:lvlText w:val="•"/>
      <w:lvlJc w:val="left"/>
      <w:pPr>
        <w:ind w:left="6672" w:hanging="207"/>
      </w:pPr>
      <w:rPr>
        <w:rFonts w:hint="default"/>
        <w:lang w:val="en-US" w:eastAsia="en-US" w:bidi="en-US"/>
      </w:rPr>
    </w:lvl>
    <w:lvl w:ilvl="7" w:tplc="2A2050C4">
      <w:numFmt w:val="bullet"/>
      <w:lvlText w:val="•"/>
      <w:lvlJc w:val="left"/>
      <w:pPr>
        <w:ind w:left="7764" w:hanging="207"/>
      </w:pPr>
      <w:rPr>
        <w:rFonts w:hint="default"/>
        <w:lang w:val="en-US" w:eastAsia="en-US" w:bidi="en-US"/>
      </w:rPr>
    </w:lvl>
    <w:lvl w:ilvl="8" w:tplc="E53E2D64">
      <w:numFmt w:val="bullet"/>
      <w:lvlText w:val="•"/>
      <w:lvlJc w:val="left"/>
      <w:pPr>
        <w:ind w:left="8856" w:hanging="207"/>
      </w:pPr>
      <w:rPr>
        <w:rFonts w:hint="default"/>
        <w:lang w:val="en-US" w:eastAsia="en-US" w:bidi="en-U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E64"/>
    <w:rsid w:val="00045786"/>
    <w:rsid w:val="002A3E64"/>
    <w:rsid w:val="00480218"/>
    <w:rsid w:val="0074488A"/>
    <w:rsid w:val="00AC486C"/>
    <w:rsid w:val="00B277F7"/>
    <w:rsid w:val="00B87F47"/>
    <w:rsid w:val="00C21375"/>
    <w:rsid w:val="00F52F05"/>
    <w:rsid w:val="00FC3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FBCB2"/>
  <w15:docId w15:val="{495FF6AE-4FE1-46C7-BF0E-934F69C4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19"/>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120"/>
      <w:jc w:val="both"/>
    </w:pPr>
    <w:rPr>
      <w:sz w:val="28"/>
      <w:szCs w:val="28"/>
    </w:rPr>
  </w:style>
  <w:style w:type="paragraph" w:styleId="ListParagraph">
    <w:name w:val="List Paragraph"/>
    <w:basedOn w:val="Normal"/>
    <w:uiPriority w:val="1"/>
    <w:qFormat/>
    <w:pPr>
      <w:spacing w:before="160"/>
      <w:ind w:left="120"/>
      <w:jc w:val="both"/>
    </w:pPr>
  </w:style>
  <w:style w:type="paragraph" w:customStyle="1" w:styleId="TableParagraph">
    <w:name w:val="Table Paragraph"/>
    <w:basedOn w:val="Normal"/>
    <w:uiPriority w:val="1"/>
    <w:qFormat/>
  </w:style>
  <w:style w:type="character" w:customStyle="1" w:styleId="st">
    <w:name w:val="st"/>
    <w:basedOn w:val="DefaultParagraphFont"/>
    <w:rsid w:val="00F52F05"/>
  </w:style>
  <w:style w:type="character" w:styleId="Emphasis">
    <w:name w:val="Emphasis"/>
    <w:basedOn w:val="DefaultParagraphFont"/>
    <w:uiPriority w:val="20"/>
    <w:qFormat/>
    <w:rsid w:val="00F52F05"/>
    <w:rPr>
      <w:i/>
      <w:iCs/>
    </w:rPr>
  </w:style>
  <w:style w:type="paragraph" w:customStyle="1" w:styleId="Default">
    <w:name w:val="Default"/>
    <w:rsid w:val="00FC3F9A"/>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Farley</dc:creator>
  <cp:lastModifiedBy>Robert Farley</cp:lastModifiedBy>
  <cp:revision>3</cp:revision>
  <dcterms:created xsi:type="dcterms:W3CDTF">2020-09-13T21:18:00Z</dcterms:created>
  <dcterms:modified xsi:type="dcterms:W3CDTF">2020-09-13T21:19:00Z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2018-08-27T00:00:00Z</vt:filetime>
  </property>
  <property fmtid="{D5CDD505-2E9C-101B-9397-08002B2CF9AE}" pid="3" name="Creator">
    <vt:lpwstr>Acrobat PDFMaker 18 for Word</vt:lpwstr>
  </property>
  <property fmtid="{D5CDD505-2E9C-101B-9397-08002B2CF9AE}" pid="4" name="LastSaved">
    <vt:filetime>2019-08-14T00:00:00Z</vt:filetime>
  </property>
</Properties>
</file>