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E6" w:rsidRPr="00C67019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  <w:r w:rsidRPr="00C67019">
        <w:rPr>
          <w:rFonts w:asciiTheme="minorHAnsi" w:hAnsiTheme="minorHAnsi" w:cstheme="minorHAnsi"/>
          <w:b/>
          <w:bCs/>
          <w:color w:val="000000"/>
          <w:sz w:val="40"/>
          <w:szCs w:val="40"/>
        </w:rPr>
        <w:t>V. GIFTS</w:t>
      </w:r>
    </w:p>
    <w:p w:rsidR="00383EE6" w:rsidRPr="00C67019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/>
          <w:bCs/>
          <w:color w:val="000000"/>
          <w:sz w:val="40"/>
          <w:szCs w:val="40"/>
        </w:rPr>
      </w:pP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40"/>
          <w:szCs w:val="40"/>
        </w:rPr>
        <w:t>A. Definition of gift: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gift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the volunt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ary transfer of property by one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person to another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without any consideration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or compensation.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1. Present transfer: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 gift is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present transfer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 property.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If the gift is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take effect only in the future, it is a mere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promise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to make a gift, and 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unenforceable as a contract because of its lack of consideration.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2. </w:t>
      </w:r>
      <w:r w:rsidRPr="00C67019">
        <w:rPr>
          <w:rFonts w:asciiTheme="minorHAnsi" w:hAnsiTheme="minorHAnsi" w:cstheme="minorHAnsi"/>
          <w:b/>
          <w:bCs/>
          <w:iCs/>
          <w:color w:val="000000"/>
          <w:sz w:val="32"/>
          <w:szCs w:val="32"/>
        </w:rPr>
        <w:t xml:space="preserve">Inter </w:t>
      </w:r>
      <w:proofErr w:type="spellStart"/>
      <w:r w:rsidRPr="00C67019">
        <w:rPr>
          <w:rFonts w:asciiTheme="minorHAnsi" w:hAnsiTheme="minorHAnsi" w:cstheme="minorHAnsi"/>
          <w:b/>
          <w:bCs/>
          <w:iCs/>
          <w:color w:val="000000"/>
          <w:sz w:val="32"/>
          <w:szCs w:val="32"/>
        </w:rPr>
        <w:t>vivos</w:t>
      </w:r>
      <w:proofErr w:type="spellEnd"/>
      <w:r w:rsidRPr="00C67019">
        <w:rPr>
          <w:rFonts w:asciiTheme="minorHAnsi" w:hAnsiTheme="minorHAnsi" w:cstheme="minorHAnsi"/>
          <w:b/>
          <w:bCs/>
          <w:iCs/>
          <w:color w:val="000000"/>
          <w:sz w:val="32"/>
          <w:szCs w:val="32"/>
        </w:rPr>
        <w:t xml:space="preserve"> vs. causa mortis </w:t>
      </w: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gift</w:t>
      </w:r>
      <w:r w:rsidRPr="00C67019">
        <w:rPr>
          <w:rFonts w:asciiTheme="minorHAnsi" w:hAnsiTheme="minorHAnsi" w:cstheme="minorHAnsi"/>
          <w:b/>
          <w:bCs/>
          <w:iCs/>
          <w:color w:val="000000"/>
          <w:sz w:val="32"/>
          <w:szCs w:val="32"/>
        </w:rPr>
        <w:t>: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We do not discuss gifts of property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by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will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this chapter. The gifts that we consider here fall into two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categories: (1) gifts “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inter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vivos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” and (2) gifts “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causa mortis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”.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An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inter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proofErr w:type="spellStart"/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vivos</w:t>
      </w:r>
      <w:proofErr w:type="spellEnd"/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gift is an ordinary one in which the donor is not responding to any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threat of death.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 gift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causa mortis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one made in contemplation of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immediate approaching death.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Most of the rules governing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two classes of gifts are the same, but where there are differences,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these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are noted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below.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principal diff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erence is that an ordinary gift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inter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vivos</w:t>
      </w:r>
      <w:proofErr w:type="spellEnd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not revocable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once made (i.e., the donor cannot “take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back” the gift, as a matter of law) but the gift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causa mortis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automatically revoked if the donor escapes from the peril of death which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prompted the gift. 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3. Requirements: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There are three require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ments for the making of a valid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gift (whether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inter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vivos</w:t>
      </w:r>
      <w:proofErr w:type="spellEnd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or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causa mortis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): (1) there must be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delivery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from the donor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either of the subject matter of the gift, or of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 written instrument embodying the terms of the gift; (2) the donor must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possess an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intent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to make a gift; and (3)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must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accept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gift.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40"/>
          <w:szCs w:val="40"/>
        </w:rPr>
        <w:t>B. Delivery: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essence of the requirement of delivery is that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control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of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subject matter of the gift must pass from the donor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.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1. Rationale: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main rationale for the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requirement of delivery is that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without such a requirement, gifts would be enforceable even if the only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evidence showing they had been made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was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an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oral statement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on the part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 the alleged donor.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This would leave people open to ill-founded and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fraudulent claims of gift. Therefore, courts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require delivery as additional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proof that a gift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was really intended and made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. 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C67019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lastRenderedPageBreak/>
        <w:t>2. Symbolic and constructive delivery: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here are some types of personal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property which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because of their nature cannot be physically delivered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(e.g. certain intangibles, such as the right to collect a debt from another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person).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C67019" w:rsidRDefault="00C67019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C67019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There are other types of personal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property which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while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theoretically capable of manual delivery, would be highly inconvenient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to deliver (e.g. heavy furniture.)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C67019" w:rsidRDefault="00C67019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C67019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Yet to dispense with the requirement of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delivery altogether in such cases would leave alleged donors open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false claims that a gift had been made.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C67019" w:rsidRDefault="00C67019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C67019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Accordingly, the courts have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adopted a middle position in such cases, and permit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“symbolic”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or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“constructive”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delivery.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(A delivery is symbolic if, instead of the thing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itself, some other object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handed over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in its place. </w:t>
      </w:r>
    </w:p>
    <w:p w:rsidR="00C67019" w:rsidRDefault="00C67019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 delivery 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constructive if the donor delivers the means of obtaining possession and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control of the subject matter, rather than making a manual transfer of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subject matter itself. )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a. Difficult or impossible to make manual transfer: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Constructive or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symbolic delivery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will not be allowed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unless delivery of the actual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subject matter would be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impossible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or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impractical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 xml:space="preserve">b. Dominion </w:t>
      </w:r>
      <w:proofErr w:type="gramStart"/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must be surrendered</w:t>
      </w:r>
      <w:proofErr w:type="gramEnd"/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lso, a symbolic or constructive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delivery will not be effective unless the donor has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parted with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dominion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and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control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of the property.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c. Use of key: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delivery of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key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a locked receptacle will often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constitute adequate constructive deliver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y of the receptacle's contents. 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Use of the key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will be upheld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whenever the manual transfer of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contents would be impractical or inconvenient.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Example: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paralyzed and confi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ned to his bed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. O gives various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keys to P (his housekeeper), telling her that everything in the house 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hers. The keys unlock several items of heavy furniture, including 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bureau in which a life insurance policy on O's life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found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lastRenderedPageBreak/>
        <w:t>Held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the delivery of the keys const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ituted constructive delivery of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items of furniture themselves, since the weight and bulk of these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items made actual manual delivery nearly impossible.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C67019" w:rsidRDefault="00C67019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But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the keys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did not constitute constructive delivery of the insurance policy,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because the policy could have been m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anually delivered (e.g., by O's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telling his nurse to hand the policy to O, who could have then handed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it to P).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Newman v.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Bost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29 S.E. 848 (N.C. 1898).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d. Intangibles: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Often the subject matter of a gift is an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intangible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i.e., a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claim of some sort against another person.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Since the claim itself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cannot be physically transferred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the courts are compelled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recognize constructive or symbolic delivery.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color w:val="000000"/>
          <w:sz w:val="32"/>
          <w:szCs w:val="32"/>
        </w:rPr>
      </w:pPr>
      <w:proofErr w:type="spellStart"/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>i</w:t>
      </w:r>
      <w:proofErr w:type="spellEnd"/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Document as embodiment of claim: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Some types of intangibles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have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document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so closely associated with them that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document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treated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as the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embodiment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 the claim.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business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custom is to assign the obligation by transferring the document,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and by surrendering the 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ocument to the obligor when the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obligation has been satisfied.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Any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negotiable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instrument falls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within this class (e.g., promissory notes, bonds, bills of lading,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etc.).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Also usually considered within this class are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stock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certificates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insurance po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licies and savings bank account passbooks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. Therefore, as to all these items,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courts hold that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delivery of the document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sufficient to constitute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delivery of the intangible claim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represented by it.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ii. Savings accounts: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some situatio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ns, a gift of the contents of a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savings account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may be made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even without delivery of physical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possession of the savings passbook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; the issue of bank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accounts is discussed further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infra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3. Written instrument: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Virtually all courts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hold that delivery to the </w:t>
      </w:r>
      <w:proofErr w:type="spell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done</w:t>
      </w:r>
      <w:proofErr w:type="spell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written instrument under seal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stating the particulars of the gift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constitutes sufficient delivery.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a. Unsealed instrument: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Where a wri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tten instrument </w:t>
      </w:r>
      <w:proofErr w:type="gram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is given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but it is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not under seal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the courts are split.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Most courts hold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that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even an unsealed instrument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is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valid substitute for physical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delivery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of the subject matter of the gift, assuming the instrument is 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clear symbol of the right to possess the subject matter.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lastRenderedPageBreak/>
        <w:t xml:space="preserve">Example: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 writes to his son, P, that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 wishes to give </w:t>
      </w:r>
      <w:proofErr w:type="spell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P</w:t>
      </w:r>
      <w:proofErr w:type="spell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his valuable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Klimt painting, but that O wishes to retain possession of the painting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for his lifetime. 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Held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this letter (together with other correspondence between O and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P) sufficed to meet the delivery requirement, and physical delivery of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painting itself was therefore not required.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Gruen</w:t>
      </w:r>
      <w:proofErr w:type="spellEnd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v.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Gruen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496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N.E.2d 869 (N.Y. 19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86), discussed more extensively.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4. Gifts </w:t>
      </w:r>
      <w:r w:rsidRPr="00C67019">
        <w:rPr>
          <w:rFonts w:asciiTheme="minorHAnsi" w:hAnsiTheme="minorHAnsi" w:cstheme="minorHAnsi"/>
          <w:b/>
          <w:bCs/>
          <w:iCs/>
          <w:color w:val="000000"/>
          <w:sz w:val="32"/>
          <w:szCs w:val="32"/>
        </w:rPr>
        <w:t>causa mortis: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Courts are generally hostile to gifts 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causa mortis,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i.e.,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made in contemplation of the donor’s death.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Therefore, they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frequently impose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stricter requirements for delivery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such cases than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where the gift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is made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inter </w:t>
      </w:r>
      <w:proofErr w:type="spell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vivos</w:t>
      </w:r>
      <w:proofErr w:type="spellEnd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with no expectation of death.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Courts have been more likely to require 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actual physical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delivery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such cases, at least if the property is capable of readily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physical delivery.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a. Revocation: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One essential feature of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a gift </w:t>
      </w:r>
      <w:proofErr w:type="gram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that's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determined to be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causa mortis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is that if the donor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does not die of the contemplated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peril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the gift may be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revoked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. In fact, most courts hold that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failure of the donor to die from the contemplated peril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automatically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revokes the gift, even if the donor indicates a desire that the gift</w:t>
      </w: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remain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valid.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b. Contemplation of death: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gift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causa mortis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as noted, is one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made in contemplation of death. In any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case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where the donor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dies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shortly after making the gift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the court will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presume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that the gift is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causa mortis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unless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comes forward with evidence that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donor was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not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acting in contemplation of death.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And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as noted, once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court decides the gift is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causa mortis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the court is likely to impose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strict physical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delivery requirements.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spellStart"/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>i</w:t>
      </w:r>
      <w:proofErr w:type="spellEnd"/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. Rationale: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Why do courts impose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stricter delivery requirements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for gifts c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ausa mortis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than other gifts?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Because courts worry that if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they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don't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do this, such gifts will in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terfere with statutes requiring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that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wills meet certain formalities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(e.g., attestation) to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reduce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fraud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. </w:t>
      </w:r>
    </w:p>
    <w:p w:rsid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C67019">
      <w:pPr>
        <w:autoSpaceDE w:val="0"/>
        <w:autoSpaceDN w:val="0"/>
        <w:adjustRightInd w:val="0"/>
        <w:spacing w:line="216" w:lineRule="auto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That is, the fear is that a claimant will falsely say, “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He gave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me a gift of [item X] just before he died, but he told me I couldn't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take possession until after his death.” Since oral gifts (unlike oral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wills) are valid, if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there's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no requirement of physical delivery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opportunity for false claims is large.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lastRenderedPageBreak/>
        <w:t xml:space="preserve">ii. Portable: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Courts are especially skep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tical of the validity of a gift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causa mortis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without physical delivery where the item is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portable</w:t>
      </w:r>
      <w:r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(e.g., a document), so that the donor/decedent could easily have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made physical delivery if she had wanted to.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40"/>
          <w:szCs w:val="40"/>
        </w:rPr>
        <w:t>C. Donor’s intent to give: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In addition to a delivery, there must be an </w:t>
      </w:r>
      <w:r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intent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on the part of the donor to make a gift. Obviously, if </w:t>
      </w:r>
      <w:proofErr w:type="gramStart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A</w:t>
      </w:r>
      <w:proofErr w:type="gramEnd"/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hands </w:t>
      </w: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B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A's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diamond ring and says “Take care of this for me until I ask for it back,”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there has been no gift even though there has been a delivery.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1. Intent to make present gift: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Furthermor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e, the intent must be to make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present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transfer, not one to take effect in the future. 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2. Present gift of future enjoyment: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Howe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ver, courts generally go out of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their way to find that there has been a present gift of the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right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to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subject matter, with only the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enjoyment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postponed to a later date.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case of personal prope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rty (as with real property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), there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may be a present transfer of title, with the right of enjoyment postponed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until a future date.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i/>
          <w:color w:val="000000"/>
          <w:sz w:val="32"/>
          <w:szCs w:val="32"/>
        </w:rPr>
        <w:t>a. Gift subject to life estate: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For instance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most courts hold that a donor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may make a valid gift of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future interest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 personal property,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subject to the donor's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>life estate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. 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In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this situation, even though the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donor does not immediately deliver the subject matter of the gift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the intent to make a present gift </w:t>
      </w:r>
      <w:proofErr w:type="gram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will usually be found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have been satisfied.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Example: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In 1963, O writes a letter 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to his son, P, saying that O 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giving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his valuable Gustav Klimt painting for P's birthday.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letter says, however, that O wishes to retain possession of the painting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for O's lifetime. A subsequent letter by O to P similarly refers to O's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intent to make a present gift of the painting to P, subject to O's right to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lifetime possession. 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painting rema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ins in O's possession until his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death in 1980, at which time D, P's stepmother, refuses to turn the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painting over to P. D contends that: </w:t>
      </w: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(1) O never intended to make an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ownership transfer in 1963, but only expressed the intent that P would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get the painting on O's death; and 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lastRenderedPageBreak/>
        <w:t xml:space="preserve">(2) </w:t>
      </w:r>
      <w:proofErr w:type="gramStart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>if</w:t>
      </w:r>
      <w:proofErr w:type="gramEnd"/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physical delivery of the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subject of the gift is possible, such delivery (rather than delivery of a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written instrument) must take place for the gift to be valid.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32"/>
          <w:szCs w:val="32"/>
        </w:rPr>
      </w:pPr>
    </w:p>
    <w:p w:rsidR="00D91A4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Held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, for P. As to argument (1), it is 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true that the donor must intend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a present gift (not a future gift), but here there was clear evidence of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O's intent to make a present transfer of a remainder interest in the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painting (subject to O's life interest). 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D91A4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As to argument (2), the very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purpose of the remainder-subject-to-a-life-interest structure used by O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was to permit O to keep possession of the painting during his lifetime,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so it would be illogical (and therefore not requir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ed) for O to deliver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painting to P; therefore, a written instrument was enough to meet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delivery requirement. </w:t>
      </w:r>
      <w:proofErr w:type="spellStart"/>
      <w:r w:rsidR="00383EE6"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Gruen</w:t>
      </w:r>
      <w:proofErr w:type="spellEnd"/>
      <w:r w:rsidR="00383EE6"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 xml:space="preserve"> v. </w:t>
      </w:r>
      <w:proofErr w:type="spellStart"/>
      <w:r w:rsidR="00383EE6" w:rsidRPr="00383EE6">
        <w:rPr>
          <w:rFonts w:asciiTheme="minorHAnsi" w:hAnsiTheme="minorHAnsi" w:cstheme="minorHAnsi"/>
          <w:iCs/>
          <w:color w:val="000000"/>
          <w:sz w:val="32"/>
          <w:szCs w:val="32"/>
        </w:rPr>
        <w:t>Gruen</w:t>
      </w:r>
      <w:proofErr w:type="spellEnd"/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, 496 N.E.2d 869 (N.Y.</w:t>
      </w:r>
      <w:r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="00383EE6"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1986).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383EE6" w:rsidRPr="00D91A46" w:rsidRDefault="00383EE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iCs/>
          <w:color w:val="000000"/>
          <w:sz w:val="32"/>
          <w:szCs w:val="32"/>
        </w:rPr>
      </w:pPr>
      <w:r w:rsidRPr="00C67019">
        <w:rPr>
          <w:rFonts w:asciiTheme="minorHAnsi" w:hAnsiTheme="minorHAnsi" w:cstheme="minorHAnsi"/>
          <w:b/>
          <w:bCs/>
          <w:color w:val="000000"/>
          <w:sz w:val="40"/>
          <w:szCs w:val="40"/>
        </w:rPr>
        <w:t>D. Acceptance: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Courts usually hold that the giving of a gift is a </w:t>
      </w:r>
      <w:r w:rsidR="00D91A4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bilateral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transaction requiring an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acceptance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of the gift on the part of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.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However, at least if the gift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is a beneficial one, the court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will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presume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that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intended to accept.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</w:p>
    <w:p w:rsidR="00D91A4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proofErr w:type="gramStart"/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1. </w:t>
      </w:r>
      <w:proofErr w:type="spellStart"/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>Donee</w:t>
      </w:r>
      <w:proofErr w:type="spellEnd"/>
      <w:r w:rsidRPr="00C67019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unaware:</w:t>
      </w:r>
      <w:r w:rsidRPr="00383EE6">
        <w:rPr>
          <w:rFonts w:asciiTheme="minorHAnsi" w:hAnsiTheme="minorHAnsi" w:cstheme="minorHAnsi"/>
          <w:bCs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issue usually a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rises where the donor gives the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property to a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third person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to be held until it is given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; if the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donor dies before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ever learns of the gift, it can be argued that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the gift was invalid for lack of acceptance (since the gift could obviously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not have been made after the donor died.)</w:t>
      </w:r>
      <w:proofErr w:type="gram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</w:p>
    <w:p w:rsidR="00D91A4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However, the courts have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usually held that the gift took effect </w:t>
      </w:r>
      <w:r w:rsidRPr="00383EE6">
        <w:rPr>
          <w:rFonts w:asciiTheme="minorHAnsi" w:hAnsiTheme="minorHAnsi" w:cstheme="minorHAnsi"/>
          <w:bCs/>
          <w:iCs/>
          <w:color w:val="000000"/>
          <w:sz w:val="32"/>
          <w:szCs w:val="32"/>
        </w:rPr>
        <w:t xml:space="preserve">immediately 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upon its execution by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the donor, subject to the </w:t>
      </w:r>
      <w:proofErr w:type="spellStart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donee's</w:t>
      </w:r>
      <w:proofErr w:type="spellEnd"/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right to repudiate it subsequently.</w:t>
      </w:r>
    </w:p>
    <w:p w:rsidR="00D91A4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</w:p>
    <w:p w:rsidR="00383EE6" w:rsidRPr="00383EE6" w:rsidRDefault="00383EE6" w:rsidP="00383EE6">
      <w:pPr>
        <w:autoSpaceDE w:val="0"/>
        <w:autoSpaceDN w:val="0"/>
        <w:adjustRightInd w:val="0"/>
        <w:jc w:val="both"/>
        <w:rPr>
          <w:rFonts w:asciiTheme="minorHAnsi" w:eastAsia="LiberationSerif" w:hAnsiTheme="minorHAnsi" w:cstheme="minorHAnsi"/>
          <w:color w:val="000000"/>
          <w:sz w:val="32"/>
          <w:szCs w:val="32"/>
        </w:rPr>
      </w:pP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So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 xml:space="preserve"> </w:t>
      </w:r>
      <w:r w:rsidRPr="00383EE6">
        <w:rPr>
          <w:rFonts w:asciiTheme="minorHAnsi" w:eastAsia="LiberationSerif" w:hAnsiTheme="minorHAnsi" w:cstheme="minorHAnsi"/>
          <w:color w:val="000000"/>
          <w:sz w:val="32"/>
          <w:szCs w:val="32"/>
        </w:rPr>
        <w:t>long as no repudiation occurs after the do</w:t>
      </w:r>
      <w:r w:rsidR="00D91A46">
        <w:rPr>
          <w:rFonts w:asciiTheme="minorHAnsi" w:eastAsia="LiberationSerif" w:hAnsiTheme="minorHAnsi" w:cstheme="minorHAnsi"/>
          <w:color w:val="000000"/>
          <w:sz w:val="32"/>
          <w:szCs w:val="32"/>
        </w:rPr>
        <w:t>nor's death, the gift is valid.</w:t>
      </w:r>
    </w:p>
    <w:p w:rsidR="00D91A46" w:rsidRDefault="00D91A46" w:rsidP="00383EE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32"/>
          <w:szCs w:val="32"/>
        </w:rPr>
      </w:pPr>
      <w:bookmarkStart w:id="0" w:name="_GoBack"/>
      <w:bookmarkEnd w:id="0"/>
    </w:p>
    <w:sectPr w:rsidR="00D91A46" w:rsidSect="004D6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Seri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E6"/>
    <w:rsid w:val="00383EE6"/>
    <w:rsid w:val="004D6C91"/>
    <w:rsid w:val="00732A9E"/>
    <w:rsid w:val="0093423E"/>
    <w:rsid w:val="00C4708B"/>
    <w:rsid w:val="00C67019"/>
    <w:rsid w:val="00D9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A081"/>
  <w15:chartTrackingRefBased/>
  <w15:docId w15:val="{5B3ACF91-8B28-4896-B0B4-DCFE3A64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unhideWhenUsed/>
    <w:rsid w:val="0093423E"/>
    <w:rPr>
      <w:rFonts w:ascii="Arial" w:hAnsi="Arial"/>
      <w:sz w:val="18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2</cp:revision>
  <dcterms:created xsi:type="dcterms:W3CDTF">2018-09-27T18:02:00Z</dcterms:created>
  <dcterms:modified xsi:type="dcterms:W3CDTF">2018-09-27T18:30:00Z</dcterms:modified>
</cp:coreProperties>
</file>