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CC849" w14:textId="77777777" w:rsidR="00AE5B9A" w:rsidRDefault="00A10461">
      <w:r>
        <w:rPr>
          <w:noProof/>
        </w:rPr>
        <w:drawing>
          <wp:anchor distT="0" distB="0" distL="114300" distR="114300" simplePos="0" relativeHeight="251658240" behindDoc="0" locked="0" layoutInCell="1" allowOverlap="1" wp14:anchorId="5AD15D65" wp14:editId="2CF8CFA6">
            <wp:simplePos x="0" y="0"/>
            <wp:positionH relativeFrom="column">
              <wp:posOffset>1876425</wp:posOffset>
            </wp:positionH>
            <wp:positionV relativeFrom="paragraph">
              <wp:posOffset>-133350</wp:posOffset>
            </wp:positionV>
            <wp:extent cx="2905125" cy="624602"/>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ll Class Roster Graphic.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05125" cy="624602"/>
                    </a:xfrm>
                    <a:prstGeom prst="rect">
                      <a:avLst/>
                    </a:prstGeom>
                  </pic:spPr>
                </pic:pic>
              </a:graphicData>
            </a:graphic>
            <wp14:sizeRelH relativeFrom="page">
              <wp14:pctWidth>0</wp14:pctWidth>
            </wp14:sizeRelH>
            <wp14:sizeRelV relativeFrom="page">
              <wp14:pctHeight>0</wp14:pctHeight>
            </wp14:sizeRelV>
          </wp:anchor>
        </w:drawing>
      </w:r>
    </w:p>
    <w:p w14:paraId="50CC4F37" w14:textId="77777777" w:rsidR="00A10461" w:rsidRDefault="00A10461"/>
    <w:p w14:paraId="4907E1C0" w14:textId="77777777" w:rsidR="00A10461" w:rsidRDefault="00A10461"/>
    <w:p w14:paraId="4E6C5B64" w14:textId="78FD8634" w:rsidR="00A10461" w:rsidRPr="00A10461" w:rsidRDefault="000B22E5" w:rsidP="0060334F">
      <w:pPr>
        <w:autoSpaceDE w:val="0"/>
        <w:autoSpaceDN w:val="0"/>
        <w:adjustRightInd w:val="0"/>
        <w:spacing w:line="228" w:lineRule="auto"/>
        <w:contextualSpacing/>
        <w:jc w:val="center"/>
        <w:rPr>
          <w:b/>
          <w:bCs/>
          <w:sz w:val="36"/>
          <w:szCs w:val="36"/>
        </w:rPr>
      </w:pPr>
      <w:r>
        <w:rPr>
          <w:b/>
          <w:bCs/>
          <w:sz w:val="36"/>
          <w:szCs w:val="36"/>
        </w:rPr>
        <w:t>Charrier v. Bell</w:t>
      </w:r>
      <w:r w:rsidR="00A10461" w:rsidRPr="00A10461">
        <w:rPr>
          <w:b/>
          <w:bCs/>
          <w:sz w:val="36"/>
          <w:szCs w:val="36"/>
        </w:rPr>
        <w:t xml:space="preserve"> Case Brief Summary</w:t>
      </w:r>
    </w:p>
    <w:p w14:paraId="2DFAE099" w14:textId="71510906" w:rsidR="00A10461" w:rsidRPr="00A10461" w:rsidRDefault="000B22E5" w:rsidP="0060334F">
      <w:pPr>
        <w:autoSpaceDE w:val="0"/>
        <w:autoSpaceDN w:val="0"/>
        <w:adjustRightInd w:val="0"/>
        <w:spacing w:line="228" w:lineRule="auto"/>
        <w:contextualSpacing/>
        <w:jc w:val="center"/>
      </w:pPr>
      <w:r>
        <w:t>496 So.2d 601</w:t>
      </w:r>
      <w:r w:rsidR="00D96D92">
        <w:t xml:space="preserve"> </w:t>
      </w:r>
      <w:r>
        <w:t>(La. Ct. App. 1986</w:t>
      </w:r>
      <w:r w:rsidR="00D96D92">
        <w:t>)</w:t>
      </w:r>
    </w:p>
    <w:p w14:paraId="7EE80A81" w14:textId="77777777" w:rsidR="000B22E5" w:rsidRDefault="000B22E5" w:rsidP="000B22E5">
      <w:pPr>
        <w:rPr>
          <w:rFonts w:ascii="Times New Roman" w:eastAsia="Times New Roman" w:hAnsi="Times New Roman" w:cs="Times New Roman"/>
        </w:rPr>
      </w:pPr>
    </w:p>
    <w:p w14:paraId="5C5F3112" w14:textId="078708A5" w:rsidR="000B22E5" w:rsidRPr="000B22E5" w:rsidRDefault="000B22E5" w:rsidP="000B22E5">
      <w:pPr>
        <w:rPr>
          <w:rFonts w:ascii="Calibri" w:eastAsia="Times New Roman" w:hAnsi="Calibri" w:cs="Calibri"/>
          <w:b/>
          <w:sz w:val="28"/>
          <w:szCs w:val="28"/>
        </w:rPr>
      </w:pPr>
      <w:r w:rsidRPr="000B22E5">
        <w:rPr>
          <w:rFonts w:ascii="Calibri" w:eastAsia="Times New Roman" w:hAnsi="Calibri" w:cs="Calibri"/>
          <w:b/>
          <w:sz w:val="28"/>
          <w:szCs w:val="28"/>
        </w:rPr>
        <w:t>SYNOPSIS</w:t>
      </w:r>
    </w:p>
    <w:p w14:paraId="0F7A0DA8" w14:textId="77777777" w:rsidR="000B22E5" w:rsidRPr="000B22E5" w:rsidRDefault="000B22E5" w:rsidP="000B22E5">
      <w:pPr>
        <w:jc w:val="both"/>
        <w:rPr>
          <w:rFonts w:ascii="Calibri" w:eastAsia="Times New Roman" w:hAnsi="Calibri" w:cs="Calibri"/>
          <w:sz w:val="10"/>
          <w:szCs w:val="10"/>
        </w:rPr>
      </w:pPr>
      <w:bookmarkStart w:id="0" w:name="clspara_111"/>
      <w:bookmarkEnd w:id="0"/>
    </w:p>
    <w:p w14:paraId="41AC4E21" w14:textId="6D8161E5" w:rsidR="000B22E5" w:rsidRPr="000B22E5" w:rsidRDefault="000B22E5" w:rsidP="000B22E5">
      <w:pPr>
        <w:jc w:val="both"/>
        <w:rPr>
          <w:rFonts w:ascii="Calibri" w:eastAsia="Times New Roman" w:hAnsi="Calibri" w:cs="Calibri"/>
          <w:sz w:val="10"/>
          <w:szCs w:val="10"/>
        </w:rPr>
      </w:pPr>
      <w:r w:rsidRPr="000B22E5">
        <w:rPr>
          <w:rFonts w:ascii="Calibri" w:eastAsia="Times New Roman" w:hAnsi="Calibri" w:cs="Calibri"/>
          <w:sz w:val="28"/>
          <w:szCs w:val="28"/>
        </w:rPr>
        <w:t xml:space="preserve">Appellant </w:t>
      </w:r>
      <w:r>
        <w:rPr>
          <w:rFonts w:ascii="Calibri" w:eastAsia="Times New Roman" w:hAnsi="Calibri" w:cs="Calibri"/>
          <w:sz w:val="28"/>
          <w:szCs w:val="28"/>
        </w:rPr>
        <w:t xml:space="preserve">an amateur </w:t>
      </w:r>
      <w:r w:rsidRPr="000B22E5">
        <w:rPr>
          <w:rFonts w:ascii="Calibri" w:eastAsia="Times New Roman" w:hAnsi="Calibri" w:cs="Calibri"/>
          <w:sz w:val="28"/>
          <w:szCs w:val="28"/>
        </w:rPr>
        <w:t>archeologist sought review of a judgment from the Twentieth Judicial District Court, Parish of West Feliciana (Louisiana), which denied both claims against appellee Indian descendants as owner of Indian artifacts and the archeologist's request for compensation for his excavation work in uncovering those artifacts under the theory of unjust enrichment.</w:t>
      </w:r>
      <w:r w:rsidRPr="000B22E5">
        <w:rPr>
          <w:rFonts w:ascii="Calibri" w:eastAsia="Times New Roman" w:hAnsi="Calibri" w:cs="Calibri"/>
          <w:sz w:val="28"/>
          <w:szCs w:val="28"/>
        </w:rPr>
        <w:br/>
      </w:r>
      <w:r w:rsidRPr="000B22E5">
        <w:rPr>
          <w:rFonts w:ascii="Calibri" w:eastAsia="Times New Roman" w:hAnsi="Calibri" w:cs="Calibri"/>
          <w:sz w:val="28"/>
          <w:szCs w:val="28"/>
        </w:rPr>
        <w:br/>
      </w:r>
      <w:r w:rsidRPr="000B22E5">
        <w:rPr>
          <w:rFonts w:ascii="Calibri" w:eastAsia="Times New Roman" w:hAnsi="Calibri" w:cs="Calibri"/>
          <w:b/>
          <w:sz w:val="28"/>
          <w:szCs w:val="28"/>
        </w:rPr>
        <w:t>FACTS</w:t>
      </w:r>
      <w:r w:rsidRPr="000B22E5">
        <w:rPr>
          <w:rFonts w:ascii="Calibri" w:eastAsia="Times New Roman" w:hAnsi="Calibri" w:cs="Calibri"/>
          <w:sz w:val="28"/>
          <w:szCs w:val="28"/>
        </w:rPr>
        <w:br/>
      </w:r>
      <w:bookmarkStart w:id="1" w:name="clspara_311"/>
      <w:bookmarkEnd w:id="1"/>
    </w:p>
    <w:p w14:paraId="1F9FA149" w14:textId="5EFEEB83" w:rsidR="000B22E5" w:rsidRDefault="000B22E5" w:rsidP="000B22E5">
      <w:pPr>
        <w:jc w:val="both"/>
        <w:rPr>
          <w:rFonts w:ascii="Calibri" w:eastAsia="Times New Roman" w:hAnsi="Calibri" w:cs="Calibri"/>
          <w:sz w:val="28"/>
          <w:szCs w:val="28"/>
        </w:rPr>
      </w:pPr>
      <w:r w:rsidRPr="000B22E5">
        <w:rPr>
          <w:rFonts w:ascii="Calibri" w:eastAsia="Times New Roman" w:hAnsi="Calibri" w:cs="Calibri"/>
          <w:sz w:val="28"/>
          <w:szCs w:val="28"/>
        </w:rPr>
        <w:t xml:space="preserve">The </w:t>
      </w:r>
      <w:r>
        <w:rPr>
          <w:rFonts w:ascii="Calibri" w:eastAsia="Times New Roman" w:hAnsi="Calibri" w:cs="Calibri"/>
          <w:sz w:val="28"/>
          <w:szCs w:val="28"/>
        </w:rPr>
        <w:t xml:space="preserve">appellant </w:t>
      </w:r>
      <w:r w:rsidRPr="000B22E5">
        <w:rPr>
          <w:rFonts w:ascii="Calibri" w:eastAsia="Times New Roman" w:hAnsi="Calibri" w:cs="Calibri"/>
          <w:sz w:val="28"/>
          <w:szCs w:val="28"/>
        </w:rPr>
        <w:t xml:space="preserve">archeologist alleged that he obtained the permission of a person, who he believed was the owner of the land, to survey the property with a metal detector for possible burial locations. </w:t>
      </w:r>
    </w:p>
    <w:p w14:paraId="10333800" w14:textId="77777777" w:rsidR="000B22E5" w:rsidRPr="000B22E5" w:rsidRDefault="000B22E5" w:rsidP="000B22E5">
      <w:pPr>
        <w:jc w:val="both"/>
        <w:rPr>
          <w:rFonts w:ascii="Calibri" w:eastAsia="Times New Roman" w:hAnsi="Calibri" w:cs="Calibri"/>
          <w:sz w:val="10"/>
          <w:szCs w:val="10"/>
        </w:rPr>
      </w:pPr>
    </w:p>
    <w:p w14:paraId="02843385" w14:textId="77777777" w:rsidR="000B22E5" w:rsidRDefault="000B22E5" w:rsidP="000B22E5">
      <w:pPr>
        <w:jc w:val="both"/>
        <w:rPr>
          <w:rFonts w:ascii="Calibri" w:eastAsia="Times New Roman" w:hAnsi="Calibri" w:cs="Calibri"/>
          <w:sz w:val="28"/>
          <w:szCs w:val="28"/>
        </w:rPr>
      </w:pPr>
      <w:r w:rsidRPr="000B22E5">
        <w:rPr>
          <w:rFonts w:ascii="Calibri" w:eastAsia="Times New Roman" w:hAnsi="Calibri" w:cs="Calibri"/>
          <w:sz w:val="28"/>
          <w:szCs w:val="28"/>
        </w:rPr>
        <w:t xml:space="preserve">The </w:t>
      </w:r>
      <w:r>
        <w:rPr>
          <w:rFonts w:ascii="Calibri" w:eastAsia="Times New Roman" w:hAnsi="Calibri" w:cs="Calibri"/>
          <w:sz w:val="28"/>
          <w:szCs w:val="28"/>
        </w:rPr>
        <w:t xml:space="preserve">appellant </w:t>
      </w:r>
      <w:r w:rsidRPr="000B22E5">
        <w:rPr>
          <w:rFonts w:ascii="Calibri" w:eastAsia="Times New Roman" w:hAnsi="Calibri" w:cs="Calibri"/>
          <w:sz w:val="28"/>
          <w:szCs w:val="28"/>
        </w:rPr>
        <w:t xml:space="preserve">archeologist located and excavated about 30 to 40 burial plots, lying in a circular pattern. </w:t>
      </w:r>
    </w:p>
    <w:p w14:paraId="6CE9163B" w14:textId="77777777" w:rsidR="000B22E5" w:rsidRPr="000B22E5" w:rsidRDefault="000B22E5" w:rsidP="000B22E5">
      <w:pPr>
        <w:jc w:val="both"/>
        <w:rPr>
          <w:rFonts w:ascii="Calibri" w:eastAsia="Times New Roman" w:hAnsi="Calibri" w:cs="Calibri"/>
          <w:sz w:val="10"/>
          <w:szCs w:val="10"/>
        </w:rPr>
      </w:pPr>
    </w:p>
    <w:p w14:paraId="383FAB8D" w14:textId="77777777" w:rsidR="000B22E5" w:rsidRPr="000B22E5" w:rsidRDefault="000B22E5" w:rsidP="000B22E5">
      <w:pPr>
        <w:jc w:val="both"/>
        <w:rPr>
          <w:rFonts w:ascii="Calibri" w:eastAsia="Times New Roman" w:hAnsi="Calibri" w:cs="Calibri"/>
          <w:b/>
          <w:sz w:val="28"/>
          <w:szCs w:val="28"/>
        </w:rPr>
      </w:pPr>
      <w:r>
        <w:rPr>
          <w:rFonts w:ascii="Calibri" w:eastAsia="Times New Roman" w:hAnsi="Calibri" w:cs="Calibri"/>
          <w:sz w:val="28"/>
          <w:szCs w:val="28"/>
        </w:rPr>
        <w:t>Upon this discovery, t</w:t>
      </w:r>
      <w:r w:rsidRPr="000B22E5">
        <w:rPr>
          <w:rFonts w:ascii="Calibri" w:eastAsia="Times New Roman" w:hAnsi="Calibri" w:cs="Calibri"/>
          <w:sz w:val="28"/>
          <w:szCs w:val="28"/>
        </w:rPr>
        <w:t xml:space="preserve">he archeologist contended that he was then advised that the purported owner </w:t>
      </w:r>
      <w:r>
        <w:rPr>
          <w:rFonts w:ascii="Calibri" w:eastAsia="Times New Roman" w:hAnsi="Calibri" w:cs="Calibri"/>
          <w:sz w:val="28"/>
          <w:szCs w:val="28"/>
        </w:rPr>
        <w:t xml:space="preserve">that gave him permission to dig </w:t>
      </w:r>
      <w:r w:rsidRPr="000B22E5">
        <w:rPr>
          <w:rFonts w:ascii="Calibri" w:eastAsia="Times New Roman" w:hAnsi="Calibri" w:cs="Calibri"/>
          <w:sz w:val="28"/>
          <w:szCs w:val="28"/>
        </w:rPr>
        <w:t>was</w:t>
      </w:r>
      <w:r>
        <w:rPr>
          <w:rFonts w:ascii="Calibri" w:eastAsia="Times New Roman" w:hAnsi="Calibri" w:cs="Calibri"/>
          <w:sz w:val="28"/>
          <w:szCs w:val="28"/>
        </w:rPr>
        <w:t xml:space="preserve"> in fact not the owner but</w:t>
      </w:r>
      <w:r w:rsidRPr="000B22E5">
        <w:rPr>
          <w:rFonts w:ascii="Calibri" w:eastAsia="Times New Roman" w:hAnsi="Calibri" w:cs="Calibri"/>
          <w:sz w:val="28"/>
          <w:szCs w:val="28"/>
        </w:rPr>
        <w:t xml:space="preserve"> the caretaker.</w:t>
      </w:r>
      <w:r w:rsidRPr="000B22E5">
        <w:rPr>
          <w:rFonts w:ascii="Calibri" w:eastAsia="Times New Roman" w:hAnsi="Calibri" w:cs="Calibri"/>
          <w:sz w:val="28"/>
          <w:szCs w:val="28"/>
        </w:rPr>
        <w:br/>
      </w:r>
      <w:r w:rsidRPr="000B22E5">
        <w:rPr>
          <w:rFonts w:ascii="Calibri" w:eastAsia="Times New Roman" w:hAnsi="Calibri" w:cs="Calibri"/>
          <w:sz w:val="28"/>
          <w:szCs w:val="28"/>
        </w:rPr>
        <w:br/>
      </w:r>
      <w:r w:rsidRPr="000B22E5">
        <w:rPr>
          <w:rFonts w:ascii="Calibri" w:eastAsia="Times New Roman" w:hAnsi="Calibri" w:cs="Calibri"/>
          <w:b/>
          <w:sz w:val="28"/>
          <w:szCs w:val="28"/>
        </w:rPr>
        <w:t>PROCEDURAL HISTORY</w:t>
      </w:r>
    </w:p>
    <w:p w14:paraId="435598EE" w14:textId="77777777" w:rsidR="000B22E5" w:rsidRDefault="000B22E5" w:rsidP="000B22E5">
      <w:pPr>
        <w:jc w:val="both"/>
        <w:rPr>
          <w:rFonts w:ascii="Calibri" w:eastAsia="Times New Roman" w:hAnsi="Calibri" w:cs="Calibri"/>
          <w:sz w:val="28"/>
          <w:szCs w:val="28"/>
        </w:rPr>
      </w:pPr>
      <w:r w:rsidRPr="000B22E5">
        <w:rPr>
          <w:rFonts w:ascii="Calibri" w:eastAsia="Times New Roman" w:hAnsi="Calibri" w:cs="Calibri"/>
          <w:sz w:val="10"/>
          <w:szCs w:val="10"/>
        </w:rPr>
        <w:br/>
      </w:r>
      <w:r w:rsidRPr="000B22E5">
        <w:rPr>
          <w:rFonts w:ascii="Calibri" w:eastAsia="Times New Roman" w:hAnsi="Calibri" w:cs="Calibri"/>
          <w:sz w:val="28"/>
          <w:szCs w:val="28"/>
        </w:rPr>
        <w:t xml:space="preserve">The trial court denied </w:t>
      </w:r>
      <w:proofErr w:type="gramStart"/>
      <w:r w:rsidRPr="000B22E5">
        <w:rPr>
          <w:rFonts w:ascii="Calibri" w:eastAsia="Times New Roman" w:hAnsi="Calibri" w:cs="Calibri"/>
          <w:sz w:val="28"/>
          <w:szCs w:val="28"/>
        </w:rPr>
        <w:t>both of the archeologist's</w:t>
      </w:r>
      <w:proofErr w:type="gramEnd"/>
      <w:r w:rsidRPr="000B22E5">
        <w:rPr>
          <w:rFonts w:ascii="Calibri" w:eastAsia="Times New Roman" w:hAnsi="Calibri" w:cs="Calibri"/>
          <w:sz w:val="28"/>
          <w:szCs w:val="28"/>
        </w:rPr>
        <w:t xml:space="preserve"> claims as owner of Indian artifacts and his request for compensation for his excavation work in uncovering those artifacts under the theory of unjust enrichment.</w:t>
      </w:r>
    </w:p>
    <w:p w14:paraId="4AEA624B" w14:textId="45D8C597" w:rsidR="000B22E5" w:rsidRPr="000B22E5" w:rsidRDefault="000B22E5" w:rsidP="000B22E5">
      <w:pPr>
        <w:jc w:val="both"/>
        <w:rPr>
          <w:rFonts w:ascii="Calibri" w:eastAsia="Times New Roman" w:hAnsi="Calibri" w:cs="Calibri"/>
          <w:b/>
          <w:sz w:val="28"/>
          <w:szCs w:val="28"/>
        </w:rPr>
      </w:pPr>
      <w:r w:rsidRPr="000B22E5">
        <w:rPr>
          <w:rFonts w:ascii="Calibri" w:eastAsia="Times New Roman" w:hAnsi="Calibri" w:cs="Calibri"/>
          <w:sz w:val="28"/>
          <w:szCs w:val="28"/>
        </w:rPr>
        <w:br/>
      </w:r>
      <w:r w:rsidRPr="000B22E5">
        <w:rPr>
          <w:rFonts w:ascii="Calibri" w:eastAsia="Times New Roman" w:hAnsi="Calibri" w:cs="Calibri"/>
          <w:b/>
          <w:sz w:val="28"/>
          <w:szCs w:val="28"/>
        </w:rPr>
        <w:t>DISCUSSION</w:t>
      </w:r>
    </w:p>
    <w:p w14:paraId="1CC9C086" w14:textId="2821179C" w:rsidR="000B22E5" w:rsidRDefault="000B22E5" w:rsidP="000B22E5">
      <w:pPr>
        <w:numPr>
          <w:ilvl w:val="0"/>
          <w:numId w:val="2"/>
        </w:numPr>
        <w:jc w:val="both"/>
        <w:rPr>
          <w:rFonts w:ascii="Calibri" w:eastAsia="Times New Roman" w:hAnsi="Calibri" w:cs="Calibri"/>
          <w:sz w:val="28"/>
          <w:szCs w:val="28"/>
        </w:rPr>
      </w:pPr>
      <w:r w:rsidRPr="000B22E5">
        <w:rPr>
          <w:rFonts w:ascii="Calibri" w:eastAsia="Times New Roman" w:hAnsi="Calibri" w:cs="Calibri"/>
          <w:sz w:val="28"/>
          <w:szCs w:val="28"/>
        </w:rPr>
        <w:t>The court held that it would not uphold the transfer of ownership to some unrelated third party who uncovers burial goods. </w:t>
      </w:r>
    </w:p>
    <w:p w14:paraId="189388C7" w14:textId="77777777" w:rsidR="000B22E5" w:rsidRPr="000B22E5" w:rsidRDefault="000B22E5" w:rsidP="000B22E5">
      <w:pPr>
        <w:ind w:left="720"/>
        <w:jc w:val="both"/>
        <w:rPr>
          <w:rFonts w:ascii="Calibri" w:eastAsia="Times New Roman" w:hAnsi="Calibri" w:cs="Calibri"/>
          <w:sz w:val="10"/>
          <w:szCs w:val="10"/>
        </w:rPr>
      </w:pPr>
    </w:p>
    <w:p w14:paraId="02EB9007" w14:textId="6EF2EA3F" w:rsidR="000B22E5" w:rsidRDefault="000B22E5" w:rsidP="000B22E5">
      <w:pPr>
        <w:numPr>
          <w:ilvl w:val="0"/>
          <w:numId w:val="2"/>
        </w:numPr>
        <w:jc w:val="both"/>
        <w:rPr>
          <w:rFonts w:ascii="Calibri" w:eastAsia="Times New Roman" w:hAnsi="Calibri" w:cs="Calibri"/>
          <w:sz w:val="28"/>
          <w:szCs w:val="28"/>
        </w:rPr>
      </w:pPr>
      <w:r w:rsidRPr="000B22E5">
        <w:rPr>
          <w:rFonts w:ascii="Calibri" w:eastAsia="Times New Roman" w:hAnsi="Calibri" w:cs="Calibri"/>
          <w:sz w:val="28"/>
          <w:szCs w:val="28"/>
        </w:rPr>
        <w:t>The court agreed with the trial court's conclusion that La. Civ. Code Ann. art. 3421 was not intended to require that objects buried with the dead were abandoned or that objects could be acquired by obtaining possession over the objections of the descendants. </w:t>
      </w:r>
    </w:p>
    <w:p w14:paraId="78115650" w14:textId="77777777" w:rsidR="000B22E5" w:rsidRPr="000B22E5" w:rsidRDefault="000B22E5" w:rsidP="000B22E5">
      <w:pPr>
        <w:jc w:val="both"/>
        <w:rPr>
          <w:rFonts w:ascii="Calibri" w:eastAsia="Times New Roman" w:hAnsi="Calibri" w:cs="Calibri"/>
          <w:sz w:val="10"/>
          <w:szCs w:val="10"/>
        </w:rPr>
      </w:pPr>
    </w:p>
    <w:p w14:paraId="22010AA0" w14:textId="77777777" w:rsidR="000B22E5" w:rsidRPr="000B22E5" w:rsidRDefault="000B22E5" w:rsidP="000B22E5">
      <w:pPr>
        <w:numPr>
          <w:ilvl w:val="0"/>
          <w:numId w:val="2"/>
        </w:numPr>
        <w:jc w:val="both"/>
        <w:rPr>
          <w:rFonts w:ascii="Calibri" w:eastAsia="Times New Roman" w:hAnsi="Calibri" w:cs="Calibri"/>
          <w:sz w:val="28"/>
          <w:szCs w:val="28"/>
        </w:rPr>
      </w:pPr>
      <w:r w:rsidRPr="000B22E5">
        <w:rPr>
          <w:rFonts w:ascii="Calibri" w:eastAsia="Times New Roman" w:hAnsi="Calibri" w:cs="Calibri"/>
          <w:sz w:val="28"/>
          <w:szCs w:val="28"/>
        </w:rPr>
        <w:t>The court further noted that the ultimate owners of the artifacts presented substantial evidence that the excavation caused substantial upset over the ruin of "ancestral burial grounds," rather than any enrichment.</w:t>
      </w:r>
    </w:p>
    <w:p w14:paraId="7C5A57E1" w14:textId="77777777" w:rsidR="000B22E5" w:rsidRDefault="000B22E5" w:rsidP="000B22E5">
      <w:pPr>
        <w:rPr>
          <w:rFonts w:ascii="Calibri" w:eastAsia="Times New Roman" w:hAnsi="Calibri" w:cs="Calibri"/>
          <w:b/>
          <w:sz w:val="28"/>
          <w:szCs w:val="28"/>
        </w:rPr>
      </w:pPr>
    </w:p>
    <w:p w14:paraId="573330CC" w14:textId="61E3D474" w:rsidR="000B22E5" w:rsidRPr="000B22E5" w:rsidRDefault="000B22E5" w:rsidP="000B22E5">
      <w:pPr>
        <w:rPr>
          <w:rFonts w:ascii="Calibri" w:eastAsia="Times New Roman" w:hAnsi="Calibri" w:cs="Calibri"/>
          <w:b/>
          <w:sz w:val="10"/>
          <w:szCs w:val="10"/>
        </w:rPr>
      </w:pPr>
      <w:r w:rsidRPr="000B22E5">
        <w:rPr>
          <w:rFonts w:ascii="Calibri" w:eastAsia="Times New Roman" w:hAnsi="Calibri" w:cs="Calibri"/>
          <w:b/>
          <w:sz w:val="28"/>
          <w:szCs w:val="28"/>
        </w:rPr>
        <w:t>CONCLUSION</w:t>
      </w:r>
      <w:r w:rsidRPr="000B22E5">
        <w:rPr>
          <w:rFonts w:ascii="Calibri" w:eastAsia="Times New Roman" w:hAnsi="Calibri" w:cs="Calibri"/>
          <w:b/>
          <w:sz w:val="28"/>
          <w:szCs w:val="28"/>
        </w:rPr>
        <w:br/>
      </w:r>
      <w:bookmarkStart w:id="2" w:name="clspara_411"/>
      <w:bookmarkEnd w:id="2"/>
    </w:p>
    <w:p w14:paraId="5A6B20AC" w14:textId="30EA489A" w:rsidR="005F76F0" w:rsidRPr="000B22E5" w:rsidRDefault="000B22E5" w:rsidP="000B22E5">
      <w:pPr>
        <w:jc w:val="both"/>
        <w:rPr>
          <w:rFonts w:ascii="Calibri" w:hAnsi="Calibri" w:cs="Calibri"/>
          <w:sz w:val="28"/>
          <w:szCs w:val="28"/>
        </w:rPr>
      </w:pPr>
      <w:r w:rsidRPr="000B22E5">
        <w:rPr>
          <w:rFonts w:ascii="Calibri" w:eastAsia="Times New Roman" w:hAnsi="Calibri" w:cs="Calibri"/>
          <w:sz w:val="28"/>
          <w:szCs w:val="28"/>
        </w:rPr>
        <w:t xml:space="preserve">The court affirmed the decision denying </w:t>
      </w:r>
      <w:proofErr w:type="gramStart"/>
      <w:r w:rsidRPr="000B22E5">
        <w:rPr>
          <w:rFonts w:ascii="Calibri" w:eastAsia="Times New Roman" w:hAnsi="Calibri" w:cs="Calibri"/>
          <w:sz w:val="28"/>
          <w:szCs w:val="28"/>
        </w:rPr>
        <w:t>both of the archeologist's</w:t>
      </w:r>
      <w:proofErr w:type="gramEnd"/>
      <w:r w:rsidRPr="000B22E5">
        <w:rPr>
          <w:rFonts w:ascii="Calibri" w:eastAsia="Times New Roman" w:hAnsi="Calibri" w:cs="Calibri"/>
          <w:sz w:val="28"/>
          <w:szCs w:val="28"/>
        </w:rPr>
        <w:t xml:space="preserve"> claims against Indian descendants as owner of Indian artifacts and the archeologist's request for compensation for his excavation work in uncovering those artifacts under the theory of unjust enrichment.</w:t>
      </w:r>
      <w:bookmarkStart w:id="3" w:name="_GoBack"/>
      <w:bookmarkEnd w:id="3"/>
    </w:p>
    <w:sectPr w:rsidR="005F76F0" w:rsidRPr="000B22E5" w:rsidSect="0088346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7D0641"/>
    <w:multiLevelType w:val="multilevel"/>
    <w:tmpl w:val="4692C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4D182A"/>
    <w:multiLevelType w:val="hybridMultilevel"/>
    <w:tmpl w:val="E6143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461"/>
    <w:rsid w:val="000B22E5"/>
    <w:rsid w:val="001F02EC"/>
    <w:rsid w:val="004F349D"/>
    <w:rsid w:val="005B01D3"/>
    <w:rsid w:val="005F76F0"/>
    <w:rsid w:val="0060334F"/>
    <w:rsid w:val="00883466"/>
    <w:rsid w:val="00904A52"/>
    <w:rsid w:val="0092256E"/>
    <w:rsid w:val="00A10461"/>
    <w:rsid w:val="00A83DC5"/>
    <w:rsid w:val="00AE5B9A"/>
    <w:rsid w:val="00BF3329"/>
    <w:rsid w:val="00D96D92"/>
    <w:rsid w:val="00E40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6A7B8"/>
  <w15:chartTrackingRefBased/>
  <w15:docId w15:val="{92A233E0-787D-455A-9BC1-ABFFB5E59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0B22E5"/>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DC5"/>
    <w:pPr>
      <w:ind w:left="720"/>
      <w:contextualSpacing/>
    </w:pPr>
  </w:style>
  <w:style w:type="paragraph" w:styleId="NormalWeb">
    <w:name w:val="Normal (Web)"/>
    <w:basedOn w:val="Normal"/>
    <w:uiPriority w:val="99"/>
    <w:semiHidden/>
    <w:unhideWhenUsed/>
    <w:rsid w:val="005F76F0"/>
    <w:pPr>
      <w:spacing w:before="100" w:beforeAutospacing="1" w:after="100" w:afterAutospacing="1"/>
    </w:pPr>
    <w:rPr>
      <w:rFonts w:ascii="Times New Roman" w:eastAsia="Times New Roman" w:hAnsi="Times New Roman" w:cs="Times New Roman"/>
    </w:rPr>
  </w:style>
  <w:style w:type="character" w:customStyle="1" w:styleId="heading">
    <w:name w:val="heading"/>
    <w:basedOn w:val="DefaultParagraphFont"/>
    <w:rsid w:val="005F76F0"/>
  </w:style>
  <w:style w:type="character" w:customStyle="1" w:styleId="Heading3Char">
    <w:name w:val="Heading 3 Char"/>
    <w:basedOn w:val="DefaultParagraphFont"/>
    <w:link w:val="Heading3"/>
    <w:uiPriority w:val="9"/>
    <w:rsid w:val="000B22E5"/>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331817">
      <w:bodyDiv w:val="1"/>
      <w:marLeft w:val="0"/>
      <w:marRight w:val="0"/>
      <w:marTop w:val="0"/>
      <w:marBottom w:val="0"/>
      <w:divBdr>
        <w:top w:val="none" w:sz="0" w:space="0" w:color="auto"/>
        <w:left w:val="none" w:sz="0" w:space="0" w:color="auto"/>
        <w:bottom w:val="none" w:sz="0" w:space="0" w:color="auto"/>
        <w:right w:val="none" w:sz="0" w:space="0" w:color="auto"/>
      </w:divBdr>
      <w:divsChild>
        <w:div w:id="168646242">
          <w:marLeft w:val="0"/>
          <w:marRight w:val="0"/>
          <w:marTop w:val="0"/>
          <w:marBottom w:val="0"/>
          <w:divBdr>
            <w:top w:val="none" w:sz="0" w:space="0" w:color="auto"/>
            <w:left w:val="none" w:sz="0" w:space="0" w:color="auto"/>
            <w:bottom w:val="none" w:sz="0" w:space="0" w:color="auto"/>
            <w:right w:val="none" w:sz="0" w:space="0" w:color="auto"/>
          </w:divBdr>
          <w:divsChild>
            <w:div w:id="37508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86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senateuser</dc:creator>
  <cp:keywords/>
  <dc:description/>
  <cp:lastModifiedBy>Robert Farley</cp:lastModifiedBy>
  <cp:revision>2</cp:revision>
  <dcterms:created xsi:type="dcterms:W3CDTF">2018-10-22T14:23:00Z</dcterms:created>
  <dcterms:modified xsi:type="dcterms:W3CDTF">2018-10-22T14:23:00Z</dcterms:modified>
</cp:coreProperties>
</file>