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CC849" w14:textId="77777777" w:rsidR="00AE5B9A" w:rsidRDefault="00A10461">
      <w:r>
        <w:rPr>
          <w:noProof/>
        </w:rPr>
        <w:drawing>
          <wp:anchor distT="0" distB="0" distL="114300" distR="114300" simplePos="0" relativeHeight="251658240" behindDoc="0" locked="0" layoutInCell="1" allowOverlap="1" wp14:anchorId="5AD15D65" wp14:editId="2CF8CFA6">
            <wp:simplePos x="0" y="0"/>
            <wp:positionH relativeFrom="column">
              <wp:posOffset>1876425</wp:posOffset>
            </wp:positionH>
            <wp:positionV relativeFrom="paragraph">
              <wp:posOffset>-133350</wp:posOffset>
            </wp:positionV>
            <wp:extent cx="2905125" cy="624602"/>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ll Class Roster Graphic.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05125" cy="624602"/>
                    </a:xfrm>
                    <a:prstGeom prst="rect">
                      <a:avLst/>
                    </a:prstGeom>
                  </pic:spPr>
                </pic:pic>
              </a:graphicData>
            </a:graphic>
            <wp14:sizeRelH relativeFrom="page">
              <wp14:pctWidth>0</wp14:pctWidth>
            </wp14:sizeRelH>
            <wp14:sizeRelV relativeFrom="page">
              <wp14:pctHeight>0</wp14:pctHeight>
            </wp14:sizeRelV>
          </wp:anchor>
        </w:drawing>
      </w:r>
    </w:p>
    <w:p w14:paraId="50CC4F37" w14:textId="77777777" w:rsidR="00A10461" w:rsidRDefault="00A10461"/>
    <w:p w14:paraId="4907E1C0" w14:textId="77777777" w:rsidR="00A10461" w:rsidRDefault="00A10461"/>
    <w:p w14:paraId="780E273A" w14:textId="77777777" w:rsidR="00F73FA9" w:rsidRDefault="00F73FA9" w:rsidP="00345E8C">
      <w:pPr>
        <w:autoSpaceDE w:val="0"/>
        <w:autoSpaceDN w:val="0"/>
        <w:adjustRightInd w:val="0"/>
        <w:jc w:val="center"/>
        <w:rPr>
          <w:rFonts w:ascii="Calibri" w:hAnsi="Calibri" w:cs="Calibri"/>
          <w:b/>
          <w:bCs/>
          <w:color w:val="262626"/>
          <w:sz w:val="40"/>
          <w:szCs w:val="40"/>
        </w:rPr>
      </w:pPr>
    </w:p>
    <w:p w14:paraId="185DAC88" w14:textId="6E56191C" w:rsidR="00345E8C" w:rsidRPr="00345E8C" w:rsidRDefault="00345E8C" w:rsidP="00345E8C">
      <w:pPr>
        <w:autoSpaceDE w:val="0"/>
        <w:autoSpaceDN w:val="0"/>
        <w:adjustRightInd w:val="0"/>
        <w:jc w:val="center"/>
        <w:rPr>
          <w:rFonts w:ascii="Calibri" w:hAnsi="Calibri" w:cs="Calibri"/>
          <w:b/>
          <w:bCs/>
          <w:color w:val="262626"/>
          <w:sz w:val="40"/>
          <w:szCs w:val="40"/>
        </w:rPr>
      </w:pPr>
      <w:r w:rsidRPr="00345E8C">
        <w:rPr>
          <w:rFonts w:ascii="Calibri" w:hAnsi="Calibri" w:cs="Calibri"/>
          <w:b/>
          <w:bCs/>
          <w:color w:val="262626"/>
          <w:sz w:val="40"/>
          <w:szCs w:val="40"/>
        </w:rPr>
        <w:t>RED HILL OUTING CLUB</w:t>
      </w:r>
      <w:r w:rsidRPr="00345E8C">
        <w:rPr>
          <w:rFonts w:ascii="Calibri" w:hAnsi="Calibri" w:cs="Calibri"/>
          <w:b/>
          <w:bCs/>
          <w:color w:val="262626"/>
          <w:sz w:val="40"/>
          <w:szCs w:val="40"/>
        </w:rPr>
        <w:t xml:space="preserve"> </w:t>
      </w:r>
      <w:r w:rsidRPr="00345E8C">
        <w:rPr>
          <w:rFonts w:ascii="Calibri" w:hAnsi="Calibri" w:cs="Calibri"/>
          <w:b/>
          <w:bCs/>
          <w:color w:val="262626"/>
          <w:sz w:val="40"/>
          <w:szCs w:val="40"/>
        </w:rPr>
        <w:t>v.</w:t>
      </w:r>
      <w:r w:rsidRPr="00345E8C">
        <w:rPr>
          <w:rFonts w:ascii="Calibri" w:hAnsi="Calibri" w:cs="Calibri"/>
          <w:b/>
          <w:bCs/>
          <w:color w:val="262626"/>
          <w:sz w:val="40"/>
          <w:szCs w:val="40"/>
        </w:rPr>
        <w:t xml:space="preserve"> </w:t>
      </w:r>
      <w:r w:rsidRPr="00345E8C">
        <w:rPr>
          <w:rFonts w:ascii="Calibri" w:hAnsi="Calibri" w:cs="Calibri"/>
          <w:b/>
          <w:bCs/>
          <w:color w:val="262626"/>
          <w:sz w:val="40"/>
          <w:szCs w:val="40"/>
        </w:rPr>
        <w:t>Robert HAMMOND and another.</w:t>
      </w:r>
    </w:p>
    <w:p w14:paraId="7CE0FDB3" w14:textId="2C701154" w:rsidR="00345E8C" w:rsidRPr="00345E8C" w:rsidRDefault="00345E8C" w:rsidP="00345E8C">
      <w:pPr>
        <w:autoSpaceDE w:val="0"/>
        <w:autoSpaceDN w:val="0"/>
        <w:adjustRightInd w:val="0"/>
        <w:jc w:val="center"/>
        <w:rPr>
          <w:rFonts w:ascii="Calibri" w:hAnsi="Calibri" w:cs="Calibri"/>
          <w:color w:val="000000"/>
          <w:sz w:val="28"/>
          <w:szCs w:val="28"/>
        </w:rPr>
      </w:pPr>
      <w:proofErr w:type="gramStart"/>
      <w:r w:rsidRPr="00345E8C">
        <w:rPr>
          <w:rFonts w:ascii="Calibri" w:hAnsi="Calibri" w:cs="Calibri"/>
          <w:color w:val="000000"/>
          <w:sz w:val="28"/>
          <w:szCs w:val="28"/>
        </w:rPr>
        <w:t>143</w:t>
      </w:r>
      <w:proofErr w:type="gramEnd"/>
      <w:r w:rsidRPr="00345E8C">
        <w:rPr>
          <w:rFonts w:ascii="Calibri" w:hAnsi="Calibri" w:cs="Calibri"/>
          <w:color w:val="000000"/>
          <w:sz w:val="28"/>
          <w:szCs w:val="28"/>
        </w:rPr>
        <w:t xml:space="preserve"> N.H. 284</w:t>
      </w:r>
      <w:r>
        <w:rPr>
          <w:rFonts w:ascii="Calibri" w:hAnsi="Calibri" w:cs="Calibri"/>
          <w:color w:val="000000"/>
          <w:sz w:val="28"/>
          <w:szCs w:val="28"/>
        </w:rPr>
        <w:t xml:space="preserve">, </w:t>
      </w:r>
      <w:r w:rsidRPr="00345E8C">
        <w:rPr>
          <w:rFonts w:ascii="Calibri" w:hAnsi="Calibri" w:cs="Calibri"/>
          <w:color w:val="000000"/>
          <w:sz w:val="28"/>
          <w:szCs w:val="28"/>
        </w:rPr>
        <w:t>Supreme Court of New Hampshire.</w:t>
      </w:r>
    </w:p>
    <w:p w14:paraId="7EE80A81" w14:textId="5E71C691" w:rsidR="000B22E5" w:rsidRPr="00345E8C" w:rsidRDefault="00345E8C" w:rsidP="00345E8C">
      <w:pPr>
        <w:jc w:val="center"/>
        <w:rPr>
          <w:rFonts w:ascii="Calibri" w:eastAsia="Times New Roman" w:hAnsi="Calibri" w:cs="Calibri"/>
          <w:sz w:val="28"/>
          <w:szCs w:val="28"/>
        </w:rPr>
      </w:pPr>
      <w:r w:rsidRPr="00345E8C">
        <w:rPr>
          <w:rFonts w:ascii="Calibri" w:hAnsi="Calibri" w:cs="Calibri"/>
          <w:color w:val="000000"/>
          <w:sz w:val="28"/>
          <w:szCs w:val="28"/>
        </w:rPr>
        <w:t>No. 97-312. | Dec. 31, 1998.</w:t>
      </w:r>
    </w:p>
    <w:p w14:paraId="20DEF224" w14:textId="77777777" w:rsidR="00B760C9" w:rsidRPr="00B760C9" w:rsidRDefault="00B760C9" w:rsidP="000B22E5">
      <w:pPr>
        <w:rPr>
          <w:rFonts w:ascii="Calibri" w:eastAsia="Times New Roman" w:hAnsi="Calibri" w:cs="Calibri"/>
          <w:b/>
          <w:sz w:val="10"/>
          <w:szCs w:val="10"/>
        </w:rPr>
      </w:pPr>
    </w:p>
    <w:p w14:paraId="5C5F3112" w14:textId="38C962C5" w:rsidR="000B22E5" w:rsidRPr="000B22E5" w:rsidRDefault="000B22E5" w:rsidP="000B22E5">
      <w:pPr>
        <w:rPr>
          <w:rFonts w:ascii="Calibri" w:eastAsia="Times New Roman" w:hAnsi="Calibri" w:cs="Calibri"/>
          <w:b/>
          <w:sz w:val="28"/>
          <w:szCs w:val="28"/>
        </w:rPr>
      </w:pPr>
      <w:r w:rsidRPr="000B22E5">
        <w:rPr>
          <w:rFonts w:ascii="Calibri" w:eastAsia="Times New Roman" w:hAnsi="Calibri" w:cs="Calibri"/>
          <w:b/>
          <w:sz w:val="28"/>
          <w:szCs w:val="28"/>
        </w:rPr>
        <w:t>SYNOPSIS</w:t>
      </w:r>
    </w:p>
    <w:p w14:paraId="0F7A0DA8" w14:textId="77777777" w:rsidR="000B22E5" w:rsidRPr="000B22E5" w:rsidRDefault="000B22E5" w:rsidP="000B22E5">
      <w:pPr>
        <w:jc w:val="both"/>
        <w:rPr>
          <w:rFonts w:ascii="Calibri" w:eastAsia="Times New Roman" w:hAnsi="Calibri" w:cs="Calibri"/>
          <w:sz w:val="10"/>
          <w:szCs w:val="10"/>
        </w:rPr>
      </w:pPr>
      <w:bookmarkStart w:id="0" w:name="clspara_111"/>
      <w:bookmarkEnd w:id="0"/>
    </w:p>
    <w:p w14:paraId="3F1934C6" w14:textId="1BE892B9" w:rsidR="00345E8C" w:rsidRPr="00C41548" w:rsidRDefault="00345E8C" w:rsidP="00345E8C">
      <w:pPr>
        <w:autoSpaceDE w:val="0"/>
        <w:autoSpaceDN w:val="0"/>
        <w:adjustRightInd w:val="0"/>
        <w:jc w:val="both"/>
        <w:rPr>
          <w:rFonts w:ascii="Calibri" w:hAnsi="Calibri" w:cs="Calibri"/>
          <w:color w:val="000000" w:themeColor="text1"/>
          <w:sz w:val="28"/>
          <w:szCs w:val="28"/>
        </w:rPr>
      </w:pPr>
      <w:r w:rsidRPr="00C41548">
        <w:rPr>
          <w:rFonts w:ascii="Calibri" w:hAnsi="Calibri" w:cs="Calibri"/>
          <w:color w:val="000000" w:themeColor="text1"/>
          <w:sz w:val="28"/>
          <w:szCs w:val="28"/>
        </w:rPr>
        <w:t xml:space="preserve">The trial court </w:t>
      </w:r>
      <w:r>
        <w:rPr>
          <w:rFonts w:ascii="Calibri" w:hAnsi="Calibri" w:cs="Calibri"/>
          <w:color w:val="000000" w:themeColor="text1"/>
          <w:sz w:val="28"/>
          <w:szCs w:val="28"/>
        </w:rPr>
        <w:t>f</w:t>
      </w:r>
      <w:r w:rsidRPr="00C41548">
        <w:rPr>
          <w:rFonts w:ascii="Calibri" w:hAnsi="Calibri" w:cs="Calibri"/>
          <w:color w:val="000000" w:themeColor="text1"/>
          <w:sz w:val="28"/>
          <w:szCs w:val="28"/>
        </w:rPr>
        <w:t>ound that Red Hill (P) had</w:t>
      </w:r>
      <w:r>
        <w:rPr>
          <w:rFonts w:ascii="Calibri" w:hAnsi="Calibri" w:cs="Calibri"/>
          <w:color w:val="000000" w:themeColor="text1"/>
          <w:sz w:val="28"/>
          <w:szCs w:val="28"/>
        </w:rPr>
        <w:t xml:space="preserve"> </w:t>
      </w:r>
      <w:r w:rsidRPr="00C41548">
        <w:rPr>
          <w:rFonts w:ascii="Calibri" w:hAnsi="Calibri" w:cs="Calibri"/>
          <w:color w:val="000000" w:themeColor="text1"/>
          <w:sz w:val="28"/>
          <w:szCs w:val="28"/>
        </w:rPr>
        <w:t>not substantially breached a condition in the deed granted</w:t>
      </w:r>
      <w:r>
        <w:rPr>
          <w:rFonts w:ascii="Calibri" w:hAnsi="Calibri" w:cs="Calibri"/>
          <w:color w:val="000000" w:themeColor="text1"/>
          <w:sz w:val="28"/>
          <w:szCs w:val="28"/>
        </w:rPr>
        <w:t xml:space="preserve"> </w:t>
      </w:r>
      <w:r w:rsidRPr="00C41548">
        <w:rPr>
          <w:rFonts w:ascii="Calibri" w:hAnsi="Calibri" w:cs="Calibri"/>
          <w:color w:val="000000" w:themeColor="text1"/>
          <w:sz w:val="28"/>
          <w:szCs w:val="28"/>
        </w:rPr>
        <w:t xml:space="preserve">by Hammond </w:t>
      </w:r>
      <w:r>
        <w:rPr>
          <w:rFonts w:ascii="Calibri" w:hAnsi="Calibri" w:cs="Calibri"/>
          <w:color w:val="000000" w:themeColor="text1"/>
          <w:sz w:val="28"/>
          <w:szCs w:val="28"/>
        </w:rPr>
        <w:t>(D</w:t>
      </w:r>
      <w:r w:rsidRPr="00C41548">
        <w:rPr>
          <w:rFonts w:ascii="Calibri" w:hAnsi="Calibri" w:cs="Calibri"/>
          <w:color w:val="000000" w:themeColor="text1"/>
          <w:sz w:val="28"/>
          <w:szCs w:val="28"/>
        </w:rPr>
        <w:t>) conveying a ski slope</w:t>
      </w:r>
      <w:r>
        <w:rPr>
          <w:rFonts w:ascii="Calibri" w:hAnsi="Calibri" w:cs="Calibri"/>
          <w:color w:val="000000" w:themeColor="text1"/>
          <w:sz w:val="28"/>
          <w:szCs w:val="28"/>
        </w:rPr>
        <w:t xml:space="preserve"> by fee simple subject to a condition subsequent</w:t>
      </w:r>
      <w:r w:rsidRPr="00C41548">
        <w:rPr>
          <w:rFonts w:ascii="Calibri" w:hAnsi="Calibri" w:cs="Calibri"/>
          <w:color w:val="000000" w:themeColor="text1"/>
          <w:sz w:val="28"/>
          <w:szCs w:val="28"/>
        </w:rPr>
        <w:t>.</w:t>
      </w:r>
    </w:p>
    <w:p w14:paraId="37FBFF36" w14:textId="77777777" w:rsidR="00345E8C" w:rsidRDefault="00345E8C" w:rsidP="000B22E5">
      <w:pPr>
        <w:jc w:val="both"/>
        <w:rPr>
          <w:rFonts w:ascii="Calibri" w:eastAsia="Times New Roman" w:hAnsi="Calibri" w:cs="Calibri"/>
          <w:sz w:val="10"/>
          <w:szCs w:val="10"/>
        </w:rPr>
      </w:pPr>
    </w:p>
    <w:p w14:paraId="41AC4E21" w14:textId="2BFA2F79" w:rsidR="000B22E5" w:rsidRPr="000B22E5" w:rsidRDefault="000B22E5" w:rsidP="000B22E5">
      <w:pPr>
        <w:jc w:val="both"/>
        <w:rPr>
          <w:rFonts w:ascii="Calibri" w:eastAsia="Times New Roman" w:hAnsi="Calibri" w:cs="Calibri"/>
          <w:sz w:val="10"/>
          <w:szCs w:val="10"/>
        </w:rPr>
      </w:pPr>
      <w:r w:rsidRPr="00345E8C">
        <w:rPr>
          <w:rFonts w:ascii="Calibri" w:eastAsia="Times New Roman" w:hAnsi="Calibri" w:cs="Calibri"/>
          <w:sz w:val="10"/>
          <w:szCs w:val="10"/>
        </w:rPr>
        <w:br/>
      </w:r>
      <w:r w:rsidRPr="000B22E5">
        <w:rPr>
          <w:rFonts w:ascii="Calibri" w:eastAsia="Times New Roman" w:hAnsi="Calibri" w:cs="Calibri"/>
          <w:b/>
          <w:sz w:val="28"/>
          <w:szCs w:val="28"/>
        </w:rPr>
        <w:t>FACTS</w:t>
      </w:r>
      <w:r w:rsidRPr="000B22E5">
        <w:rPr>
          <w:rFonts w:ascii="Calibri" w:eastAsia="Times New Roman" w:hAnsi="Calibri" w:cs="Calibri"/>
          <w:sz w:val="28"/>
          <w:szCs w:val="28"/>
        </w:rPr>
        <w:br/>
      </w:r>
      <w:bookmarkStart w:id="1" w:name="clspara_311"/>
      <w:bookmarkEnd w:id="1"/>
    </w:p>
    <w:p w14:paraId="434110D5" w14:textId="77777777" w:rsidR="00345E8C" w:rsidRDefault="00345E8C" w:rsidP="00345E8C">
      <w:pPr>
        <w:jc w:val="both"/>
        <w:rPr>
          <w:rFonts w:ascii="Calibri" w:eastAsia="Times New Roman" w:hAnsi="Calibri" w:cs="Calibri"/>
          <w:color w:val="000000" w:themeColor="text1"/>
          <w:sz w:val="28"/>
          <w:szCs w:val="28"/>
        </w:rPr>
      </w:pPr>
      <w:r w:rsidRPr="00C41548">
        <w:rPr>
          <w:rFonts w:ascii="Calibri" w:eastAsia="Times New Roman" w:hAnsi="Calibri" w:cs="Calibri"/>
          <w:color w:val="000000" w:themeColor="text1"/>
          <w:sz w:val="28"/>
          <w:szCs w:val="28"/>
        </w:rPr>
        <w:t xml:space="preserve">In 1956, the Hammonds (defendants) purchased land in </w:t>
      </w:r>
      <w:proofErr w:type="spellStart"/>
      <w:r w:rsidRPr="00C41548">
        <w:rPr>
          <w:rFonts w:ascii="Calibri" w:eastAsia="Times New Roman" w:hAnsi="Calibri" w:cs="Calibri"/>
          <w:color w:val="000000" w:themeColor="text1"/>
          <w:sz w:val="28"/>
          <w:szCs w:val="28"/>
        </w:rPr>
        <w:t>Moultonboro</w:t>
      </w:r>
      <w:proofErr w:type="spellEnd"/>
      <w:r w:rsidRPr="00C41548">
        <w:rPr>
          <w:rFonts w:ascii="Calibri" w:eastAsia="Times New Roman" w:hAnsi="Calibri" w:cs="Calibri"/>
          <w:color w:val="000000" w:themeColor="text1"/>
          <w:sz w:val="28"/>
          <w:szCs w:val="28"/>
        </w:rPr>
        <w:t xml:space="preserve">, New Hampshire. </w:t>
      </w:r>
    </w:p>
    <w:p w14:paraId="673CEE59" w14:textId="77777777" w:rsidR="00345E8C" w:rsidRPr="00345E8C" w:rsidRDefault="00345E8C" w:rsidP="00345E8C">
      <w:pPr>
        <w:jc w:val="both"/>
        <w:rPr>
          <w:rFonts w:ascii="Calibri" w:eastAsia="Times New Roman" w:hAnsi="Calibri" w:cs="Calibri"/>
          <w:color w:val="000000" w:themeColor="text1"/>
          <w:sz w:val="10"/>
          <w:szCs w:val="10"/>
        </w:rPr>
      </w:pPr>
    </w:p>
    <w:p w14:paraId="1ED5E914" w14:textId="3AA16FFD" w:rsidR="00345E8C" w:rsidRDefault="00345E8C" w:rsidP="00345E8C">
      <w:pPr>
        <w:jc w:val="both"/>
        <w:rPr>
          <w:rFonts w:ascii="Calibri" w:eastAsia="Times New Roman" w:hAnsi="Calibri" w:cs="Calibri"/>
          <w:color w:val="000000" w:themeColor="text1"/>
          <w:sz w:val="28"/>
          <w:szCs w:val="28"/>
        </w:rPr>
      </w:pPr>
      <w:r>
        <w:rPr>
          <w:rFonts w:ascii="Calibri" w:eastAsia="Times New Roman" w:hAnsi="Calibri" w:cs="Calibri"/>
          <w:color w:val="000000" w:themeColor="text1"/>
          <w:sz w:val="28"/>
          <w:szCs w:val="28"/>
        </w:rPr>
        <w:t>The Hammond then</w:t>
      </w:r>
      <w:r w:rsidRPr="00C41548">
        <w:rPr>
          <w:rFonts w:ascii="Calibri" w:eastAsia="Times New Roman" w:hAnsi="Calibri" w:cs="Calibri"/>
          <w:color w:val="000000" w:themeColor="text1"/>
          <w:sz w:val="28"/>
          <w:szCs w:val="28"/>
        </w:rPr>
        <w:t xml:space="preserve"> developed the land for use as a ski slope, and were involved in forming Red Hill Outing Club (plaintiff), which was devoted to operating the ski slope. </w:t>
      </w:r>
      <w:r>
        <w:rPr>
          <w:rFonts w:ascii="Calibri" w:eastAsia="Times New Roman" w:hAnsi="Calibri" w:cs="Calibri"/>
          <w:color w:val="000000" w:themeColor="text1"/>
          <w:sz w:val="28"/>
          <w:szCs w:val="28"/>
        </w:rPr>
        <w:t xml:space="preserve"> The C</w:t>
      </w:r>
      <w:r w:rsidRPr="00C41548">
        <w:rPr>
          <w:rFonts w:ascii="Calibri" w:eastAsia="Times New Roman" w:hAnsi="Calibri" w:cs="Calibri"/>
          <w:color w:val="000000" w:themeColor="text1"/>
          <w:sz w:val="28"/>
          <w:szCs w:val="28"/>
        </w:rPr>
        <w:t xml:space="preserve">lub leased the slope from </w:t>
      </w:r>
      <w:r>
        <w:rPr>
          <w:rFonts w:ascii="Calibri" w:eastAsia="Times New Roman" w:hAnsi="Calibri" w:cs="Calibri"/>
          <w:color w:val="000000" w:themeColor="text1"/>
          <w:sz w:val="28"/>
          <w:szCs w:val="28"/>
        </w:rPr>
        <w:t xml:space="preserve">the Hammonds from </w:t>
      </w:r>
      <w:r w:rsidRPr="00C41548">
        <w:rPr>
          <w:rFonts w:ascii="Calibri" w:eastAsia="Times New Roman" w:hAnsi="Calibri" w:cs="Calibri"/>
          <w:color w:val="000000" w:themeColor="text1"/>
          <w:sz w:val="28"/>
          <w:szCs w:val="28"/>
        </w:rPr>
        <w:t xml:space="preserve">1969 through 1979. </w:t>
      </w:r>
      <w:r>
        <w:rPr>
          <w:rFonts w:ascii="Calibri" w:eastAsia="Times New Roman" w:hAnsi="Calibri" w:cs="Calibri"/>
          <w:color w:val="000000" w:themeColor="text1"/>
          <w:sz w:val="28"/>
          <w:szCs w:val="28"/>
        </w:rPr>
        <w:t xml:space="preserve">  The Club further</w:t>
      </w:r>
      <w:r w:rsidRPr="00C41548">
        <w:rPr>
          <w:rFonts w:ascii="Calibri" w:eastAsia="Times New Roman" w:hAnsi="Calibri" w:cs="Calibri"/>
          <w:color w:val="000000" w:themeColor="text1"/>
          <w:sz w:val="28"/>
          <w:szCs w:val="28"/>
        </w:rPr>
        <w:t xml:space="preserve"> operated a rope tow and provided free ski lessons for its members and residents of the town. </w:t>
      </w:r>
    </w:p>
    <w:p w14:paraId="41BFDD7A" w14:textId="77777777" w:rsidR="00345E8C" w:rsidRPr="00345E8C" w:rsidRDefault="00345E8C" w:rsidP="00345E8C">
      <w:pPr>
        <w:jc w:val="both"/>
        <w:rPr>
          <w:rFonts w:ascii="Calibri" w:eastAsia="Times New Roman" w:hAnsi="Calibri" w:cs="Calibri"/>
          <w:color w:val="000000" w:themeColor="text1"/>
          <w:sz w:val="10"/>
          <w:szCs w:val="10"/>
        </w:rPr>
      </w:pPr>
    </w:p>
    <w:p w14:paraId="553AD3BA" w14:textId="77777777" w:rsidR="00345E8C" w:rsidRDefault="00345E8C" w:rsidP="00345E8C">
      <w:pPr>
        <w:jc w:val="both"/>
        <w:rPr>
          <w:rFonts w:ascii="Calibri" w:eastAsia="Times New Roman" w:hAnsi="Calibri" w:cs="Calibri"/>
          <w:color w:val="000000" w:themeColor="text1"/>
          <w:sz w:val="28"/>
          <w:szCs w:val="28"/>
        </w:rPr>
      </w:pPr>
      <w:r w:rsidRPr="00C41548">
        <w:rPr>
          <w:rFonts w:ascii="Calibri" w:eastAsia="Times New Roman" w:hAnsi="Calibri" w:cs="Calibri"/>
          <w:color w:val="000000" w:themeColor="text1"/>
          <w:sz w:val="28"/>
          <w:szCs w:val="28"/>
        </w:rPr>
        <w:t>In 1979, the Ham</w:t>
      </w:r>
      <w:r>
        <w:rPr>
          <w:rFonts w:ascii="Calibri" w:eastAsia="Times New Roman" w:hAnsi="Calibri" w:cs="Calibri"/>
          <w:color w:val="000000" w:themeColor="text1"/>
          <w:sz w:val="28"/>
          <w:szCs w:val="28"/>
        </w:rPr>
        <w:t>monds conveyed the land to the C</w:t>
      </w:r>
      <w:r w:rsidRPr="00C41548">
        <w:rPr>
          <w:rFonts w:ascii="Calibri" w:eastAsia="Times New Roman" w:hAnsi="Calibri" w:cs="Calibri"/>
          <w:color w:val="000000" w:themeColor="text1"/>
          <w:sz w:val="28"/>
          <w:szCs w:val="28"/>
        </w:rPr>
        <w:t xml:space="preserve">lub for nominal consideration. The deed contained the condition that the Hammonds could reenter and take possession of the land if, for two consecutive years, the club did not maintain the property as a ski slope and make it available to </w:t>
      </w:r>
      <w:proofErr w:type="spellStart"/>
      <w:r w:rsidRPr="00C41548">
        <w:rPr>
          <w:rFonts w:ascii="Calibri" w:eastAsia="Times New Roman" w:hAnsi="Calibri" w:cs="Calibri"/>
          <w:color w:val="000000" w:themeColor="text1"/>
          <w:sz w:val="28"/>
          <w:szCs w:val="28"/>
        </w:rPr>
        <w:t>Moultonboro</w:t>
      </w:r>
      <w:proofErr w:type="spellEnd"/>
      <w:r w:rsidRPr="00C41548">
        <w:rPr>
          <w:rFonts w:ascii="Calibri" w:eastAsia="Times New Roman" w:hAnsi="Calibri" w:cs="Calibri"/>
          <w:color w:val="000000" w:themeColor="text1"/>
          <w:sz w:val="28"/>
          <w:szCs w:val="28"/>
        </w:rPr>
        <w:t xml:space="preserve"> residents as a ski slope. </w:t>
      </w:r>
    </w:p>
    <w:p w14:paraId="4B122548" w14:textId="77777777" w:rsidR="00345E8C" w:rsidRPr="00345E8C" w:rsidRDefault="00345E8C" w:rsidP="00345E8C">
      <w:pPr>
        <w:jc w:val="both"/>
        <w:rPr>
          <w:rFonts w:ascii="Calibri" w:eastAsia="Times New Roman" w:hAnsi="Calibri" w:cs="Calibri"/>
          <w:color w:val="000000" w:themeColor="text1"/>
          <w:sz w:val="10"/>
          <w:szCs w:val="10"/>
        </w:rPr>
      </w:pPr>
    </w:p>
    <w:p w14:paraId="0D092364" w14:textId="77777777" w:rsidR="00345E8C" w:rsidRDefault="00345E8C" w:rsidP="00345E8C">
      <w:pPr>
        <w:jc w:val="both"/>
        <w:rPr>
          <w:rFonts w:ascii="Calibri" w:eastAsia="Times New Roman" w:hAnsi="Calibri" w:cs="Calibri"/>
          <w:color w:val="000000" w:themeColor="text1"/>
          <w:sz w:val="28"/>
          <w:szCs w:val="28"/>
        </w:rPr>
      </w:pPr>
      <w:r>
        <w:rPr>
          <w:rFonts w:ascii="Calibri" w:eastAsia="Times New Roman" w:hAnsi="Calibri" w:cs="Calibri"/>
          <w:color w:val="000000" w:themeColor="text1"/>
          <w:sz w:val="28"/>
          <w:szCs w:val="28"/>
        </w:rPr>
        <w:t>The C</w:t>
      </w:r>
      <w:r w:rsidRPr="00C41548">
        <w:rPr>
          <w:rFonts w:ascii="Calibri" w:eastAsia="Times New Roman" w:hAnsi="Calibri" w:cs="Calibri"/>
          <w:color w:val="000000" w:themeColor="text1"/>
          <w:sz w:val="28"/>
          <w:szCs w:val="28"/>
        </w:rPr>
        <w:t xml:space="preserve">lub stopped providing free ski lessons after 1989, and did not operate the rope tow for the winters of 1992-93 and 1993-94. </w:t>
      </w:r>
    </w:p>
    <w:p w14:paraId="2B9BD774" w14:textId="77777777" w:rsidR="00345E8C" w:rsidRPr="00345E8C" w:rsidRDefault="00345E8C" w:rsidP="00345E8C">
      <w:pPr>
        <w:jc w:val="both"/>
        <w:rPr>
          <w:rFonts w:ascii="Calibri" w:eastAsia="Times New Roman" w:hAnsi="Calibri" w:cs="Calibri"/>
          <w:color w:val="000000" w:themeColor="text1"/>
          <w:sz w:val="10"/>
          <w:szCs w:val="10"/>
        </w:rPr>
      </w:pPr>
    </w:p>
    <w:p w14:paraId="236BCADC" w14:textId="77777777" w:rsidR="00345E8C" w:rsidRDefault="00345E8C" w:rsidP="00345E8C">
      <w:pPr>
        <w:jc w:val="both"/>
        <w:rPr>
          <w:rFonts w:ascii="Calibri" w:eastAsia="Times New Roman" w:hAnsi="Calibri" w:cs="Calibri"/>
          <w:color w:val="000000" w:themeColor="text1"/>
          <w:sz w:val="28"/>
          <w:szCs w:val="28"/>
        </w:rPr>
      </w:pPr>
      <w:r w:rsidRPr="00C41548">
        <w:rPr>
          <w:rFonts w:ascii="Calibri" w:eastAsia="Times New Roman" w:hAnsi="Calibri" w:cs="Calibri"/>
          <w:color w:val="000000" w:themeColor="text1"/>
          <w:sz w:val="28"/>
          <w:szCs w:val="28"/>
        </w:rPr>
        <w:t xml:space="preserve">The ski slope </w:t>
      </w:r>
      <w:proofErr w:type="gramStart"/>
      <w:r w:rsidRPr="00C41548">
        <w:rPr>
          <w:rFonts w:ascii="Calibri" w:eastAsia="Times New Roman" w:hAnsi="Calibri" w:cs="Calibri"/>
          <w:color w:val="000000" w:themeColor="text1"/>
          <w:sz w:val="28"/>
          <w:szCs w:val="28"/>
        </w:rPr>
        <w:t>was completely closed</w:t>
      </w:r>
      <w:proofErr w:type="gramEnd"/>
      <w:r w:rsidRPr="00C41548">
        <w:rPr>
          <w:rFonts w:ascii="Calibri" w:eastAsia="Times New Roman" w:hAnsi="Calibri" w:cs="Calibri"/>
          <w:color w:val="000000" w:themeColor="text1"/>
          <w:sz w:val="28"/>
          <w:szCs w:val="28"/>
        </w:rPr>
        <w:t xml:space="preserve"> during the second winter. </w:t>
      </w:r>
    </w:p>
    <w:p w14:paraId="61145775" w14:textId="77777777" w:rsidR="00345E8C" w:rsidRPr="00345E8C" w:rsidRDefault="00345E8C" w:rsidP="00345E8C">
      <w:pPr>
        <w:jc w:val="both"/>
        <w:rPr>
          <w:rFonts w:ascii="Calibri" w:eastAsia="Times New Roman" w:hAnsi="Calibri" w:cs="Calibri"/>
          <w:color w:val="000000" w:themeColor="text1"/>
          <w:sz w:val="10"/>
          <w:szCs w:val="10"/>
        </w:rPr>
      </w:pPr>
    </w:p>
    <w:p w14:paraId="29303BB0" w14:textId="77777777" w:rsidR="00345E8C" w:rsidRDefault="00345E8C" w:rsidP="00345E8C">
      <w:pPr>
        <w:jc w:val="both"/>
        <w:rPr>
          <w:rFonts w:ascii="Calibri" w:eastAsia="Times New Roman" w:hAnsi="Calibri" w:cs="Calibri"/>
          <w:color w:val="000000" w:themeColor="text1"/>
          <w:sz w:val="28"/>
          <w:szCs w:val="28"/>
        </w:rPr>
      </w:pPr>
      <w:r>
        <w:rPr>
          <w:rFonts w:ascii="Calibri" w:eastAsia="Times New Roman" w:hAnsi="Calibri" w:cs="Calibri"/>
          <w:color w:val="000000" w:themeColor="text1"/>
          <w:sz w:val="28"/>
          <w:szCs w:val="28"/>
        </w:rPr>
        <w:t>I</w:t>
      </w:r>
      <w:r w:rsidRPr="00C41548">
        <w:rPr>
          <w:rFonts w:ascii="Calibri" w:eastAsia="Times New Roman" w:hAnsi="Calibri" w:cs="Calibri"/>
          <w:color w:val="000000" w:themeColor="text1"/>
          <w:sz w:val="28"/>
          <w:szCs w:val="28"/>
        </w:rPr>
        <w:t xml:space="preserve">n October 1994, </w:t>
      </w:r>
      <w:r>
        <w:rPr>
          <w:rFonts w:ascii="Calibri" w:eastAsia="Times New Roman" w:hAnsi="Calibri" w:cs="Calibri"/>
          <w:color w:val="000000" w:themeColor="text1"/>
          <w:sz w:val="28"/>
          <w:szCs w:val="28"/>
        </w:rPr>
        <w:t>t</w:t>
      </w:r>
      <w:r w:rsidRPr="00C41548">
        <w:rPr>
          <w:rFonts w:ascii="Calibri" w:eastAsia="Times New Roman" w:hAnsi="Calibri" w:cs="Calibri"/>
          <w:color w:val="000000" w:themeColor="text1"/>
          <w:sz w:val="28"/>
          <w:szCs w:val="28"/>
        </w:rPr>
        <w:t>he Hammonds filed a notice of reentry</w:t>
      </w:r>
      <w:r>
        <w:rPr>
          <w:rFonts w:ascii="Calibri" w:eastAsia="Times New Roman" w:hAnsi="Calibri" w:cs="Calibri"/>
          <w:color w:val="000000" w:themeColor="text1"/>
          <w:sz w:val="28"/>
          <w:szCs w:val="28"/>
        </w:rPr>
        <w:t>,</w:t>
      </w:r>
      <w:r w:rsidRPr="00C41548">
        <w:rPr>
          <w:rFonts w:ascii="Calibri" w:eastAsia="Times New Roman" w:hAnsi="Calibri" w:cs="Calibri"/>
          <w:color w:val="000000" w:themeColor="text1"/>
          <w:sz w:val="28"/>
          <w:szCs w:val="28"/>
        </w:rPr>
        <w:t xml:space="preserve"> </w:t>
      </w:r>
      <w:proofErr w:type="gramStart"/>
      <w:r w:rsidRPr="00C41548">
        <w:rPr>
          <w:rFonts w:ascii="Calibri" w:eastAsia="Times New Roman" w:hAnsi="Calibri" w:cs="Calibri"/>
          <w:color w:val="000000" w:themeColor="text1"/>
          <w:sz w:val="28"/>
          <w:szCs w:val="28"/>
        </w:rPr>
        <w:t>on the ground</w:t>
      </w:r>
      <w:r>
        <w:rPr>
          <w:rFonts w:ascii="Calibri" w:eastAsia="Times New Roman" w:hAnsi="Calibri" w:cs="Calibri"/>
          <w:color w:val="000000" w:themeColor="text1"/>
          <w:sz w:val="28"/>
          <w:szCs w:val="28"/>
        </w:rPr>
        <w:t>s that</w:t>
      </w:r>
      <w:proofErr w:type="gramEnd"/>
      <w:r>
        <w:rPr>
          <w:rFonts w:ascii="Calibri" w:eastAsia="Times New Roman" w:hAnsi="Calibri" w:cs="Calibri"/>
          <w:color w:val="000000" w:themeColor="text1"/>
          <w:sz w:val="28"/>
          <w:szCs w:val="28"/>
        </w:rPr>
        <w:t xml:space="preserve"> the C</w:t>
      </w:r>
      <w:r w:rsidRPr="00C41548">
        <w:rPr>
          <w:rFonts w:ascii="Calibri" w:eastAsia="Times New Roman" w:hAnsi="Calibri" w:cs="Calibri"/>
          <w:color w:val="000000" w:themeColor="text1"/>
          <w:sz w:val="28"/>
          <w:szCs w:val="28"/>
        </w:rPr>
        <w:t xml:space="preserve">lub had breached the condition by failing to operate skiing facilities for two consecutive years. </w:t>
      </w:r>
    </w:p>
    <w:p w14:paraId="3D402629" w14:textId="77777777" w:rsidR="00345E8C" w:rsidRPr="00345E8C" w:rsidRDefault="00345E8C" w:rsidP="00345E8C">
      <w:pPr>
        <w:jc w:val="both"/>
        <w:rPr>
          <w:rFonts w:ascii="Calibri" w:eastAsia="Times New Roman" w:hAnsi="Calibri" w:cs="Calibri"/>
          <w:color w:val="000000" w:themeColor="text1"/>
          <w:sz w:val="10"/>
          <w:szCs w:val="10"/>
        </w:rPr>
      </w:pPr>
    </w:p>
    <w:p w14:paraId="1212043F" w14:textId="77777777" w:rsidR="00345E8C" w:rsidRDefault="00345E8C" w:rsidP="00345E8C">
      <w:pPr>
        <w:jc w:val="both"/>
        <w:rPr>
          <w:rFonts w:ascii="Calibri" w:eastAsia="Times New Roman" w:hAnsi="Calibri" w:cs="Calibri"/>
          <w:color w:val="000000" w:themeColor="text1"/>
          <w:sz w:val="28"/>
          <w:szCs w:val="28"/>
        </w:rPr>
      </w:pPr>
      <w:r w:rsidRPr="00C41548">
        <w:rPr>
          <w:rFonts w:ascii="Calibri" w:eastAsia="Times New Roman" w:hAnsi="Calibri" w:cs="Calibri"/>
          <w:color w:val="000000" w:themeColor="text1"/>
          <w:sz w:val="28"/>
          <w:szCs w:val="28"/>
        </w:rPr>
        <w:t xml:space="preserve">The club then sought a declaratory judgment against the Hammonds. </w:t>
      </w:r>
    </w:p>
    <w:p w14:paraId="3440BD56" w14:textId="597A94AE" w:rsidR="00345E8C" w:rsidRDefault="00345E8C" w:rsidP="00345E8C">
      <w:pPr>
        <w:jc w:val="both"/>
        <w:rPr>
          <w:rFonts w:ascii="Calibri" w:eastAsia="Times New Roman" w:hAnsi="Calibri" w:cs="Calibri"/>
          <w:color w:val="000000" w:themeColor="text1"/>
          <w:sz w:val="10"/>
          <w:szCs w:val="10"/>
        </w:rPr>
      </w:pPr>
    </w:p>
    <w:p w14:paraId="4EA6BDCA" w14:textId="77777777" w:rsidR="00345E8C" w:rsidRPr="00345E8C" w:rsidRDefault="00345E8C" w:rsidP="00345E8C">
      <w:pPr>
        <w:jc w:val="both"/>
        <w:rPr>
          <w:rFonts w:ascii="Calibri" w:eastAsia="Times New Roman" w:hAnsi="Calibri" w:cs="Calibri"/>
          <w:color w:val="000000" w:themeColor="text1"/>
          <w:sz w:val="10"/>
          <w:szCs w:val="10"/>
        </w:rPr>
      </w:pPr>
    </w:p>
    <w:p w14:paraId="68B7DD83" w14:textId="77777777" w:rsidR="00345E8C" w:rsidRPr="000B22E5" w:rsidRDefault="00345E8C" w:rsidP="00345E8C">
      <w:pPr>
        <w:jc w:val="both"/>
        <w:rPr>
          <w:rFonts w:ascii="Calibri" w:eastAsia="Times New Roman" w:hAnsi="Calibri" w:cs="Calibri"/>
          <w:b/>
          <w:sz w:val="28"/>
          <w:szCs w:val="28"/>
        </w:rPr>
      </w:pPr>
      <w:r w:rsidRPr="000B22E5">
        <w:rPr>
          <w:rFonts w:ascii="Calibri" w:eastAsia="Times New Roman" w:hAnsi="Calibri" w:cs="Calibri"/>
          <w:b/>
          <w:sz w:val="28"/>
          <w:szCs w:val="28"/>
        </w:rPr>
        <w:t>PROCEDURAL HISTORY</w:t>
      </w:r>
    </w:p>
    <w:p w14:paraId="04310C77" w14:textId="77777777" w:rsidR="00345E8C" w:rsidRPr="00345E8C" w:rsidRDefault="00345E8C" w:rsidP="00345E8C">
      <w:pPr>
        <w:jc w:val="both"/>
        <w:rPr>
          <w:rFonts w:ascii="Calibri" w:eastAsia="Times New Roman" w:hAnsi="Calibri" w:cs="Calibri"/>
          <w:color w:val="000000" w:themeColor="text1"/>
          <w:sz w:val="10"/>
          <w:szCs w:val="10"/>
        </w:rPr>
      </w:pPr>
    </w:p>
    <w:p w14:paraId="1C0B7756" w14:textId="6CE40F6F" w:rsidR="00345E8C" w:rsidRDefault="00345E8C" w:rsidP="00345E8C">
      <w:pPr>
        <w:jc w:val="both"/>
        <w:rPr>
          <w:rFonts w:ascii="Calibri" w:eastAsia="Times New Roman" w:hAnsi="Calibri" w:cs="Calibri"/>
          <w:color w:val="000000" w:themeColor="text1"/>
          <w:sz w:val="28"/>
          <w:szCs w:val="28"/>
        </w:rPr>
      </w:pPr>
      <w:r w:rsidRPr="00C41548">
        <w:rPr>
          <w:rFonts w:ascii="Calibri" w:eastAsia="Times New Roman" w:hAnsi="Calibri" w:cs="Calibri"/>
          <w:color w:val="000000" w:themeColor="text1"/>
          <w:sz w:val="28"/>
          <w:szCs w:val="28"/>
        </w:rPr>
        <w:t xml:space="preserve">The trial court held that the condition subsequent in the deed should be strictly construed. </w:t>
      </w:r>
    </w:p>
    <w:p w14:paraId="06CC77EA" w14:textId="77777777" w:rsidR="00345E8C" w:rsidRPr="00345E8C" w:rsidRDefault="00345E8C" w:rsidP="00345E8C">
      <w:pPr>
        <w:jc w:val="both"/>
        <w:rPr>
          <w:rFonts w:ascii="Calibri" w:eastAsia="Times New Roman" w:hAnsi="Calibri" w:cs="Calibri"/>
          <w:color w:val="000000" w:themeColor="text1"/>
          <w:sz w:val="10"/>
          <w:szCs w:val="10"/>
        </w:rPr>
      </w:pPr>
    </w:p>
    <w:p w14:paraId="24581C58" w14:textId="77777777" w:rsidR="00345E8C" w:rsidRDefault="00345E8C" w:rsidP="00345E8C">
      <w:pPr>
        <w:jc w:val="both"/>
        <w:rPr>
          <w:rFonts w:ascii="Calibri" w:eastAsia="Times New Roman" w:hAnsi="Calibri" w:cs="Calibri"/>
          <w:color w:val="000000" w:themeColor="text1"/>
          <w:sz w:val="28"/>
          <w:szCs w:val="28"/>
        </w:rPr>
      </w:pPr>
      <w:r w:rsidRPr="00C41548">
        <w:rPr>
          <w:rFonts w:ascii="Calibri" w:eastAsia="Times New Roman" w:hAnsi="Calibri" w:cs="Calibri"/>
          <w:color w:val="000000" w:themeColor="text1"/>
          <w:sz w:val="28"/>
          <w:szCs w:val="28"/>
        </w:rPr>
        <w:t xml:space="preserve">Therefore, the trial court held, the only condition was that the club “maintain and make available the premises . . . as a ski slope.” Accordingly, the club had not breached during the winter of 1992-93, and the closure during the winter of 1993-94 was not long enough to give the Hammonds a right of reentry. The trial court held that the club retained title to the property. </w:t>
      </w:r>
    </w:p>
    <w:p w14:paraId="47B7BB91" w14:textId="77777777" w:rsidR="00345E8C" w:rsidRPr="00345E8C" w:rsidRDefault="00345E8C" w:rsidP="00345E8C">
      <w:pPr>
        <w:jc w:val="both"/>
        <w:rPr>
          <w:rFonts w:ascii="Calibri" w:eastAsia="Times New Roman" w:hAnsi="Calibri" w:cs="Calibri"/>
          <w:color w:val="000000" w:themeColor="text1"/>
          <w:sz w:val="10"/>
          <w:szCs w:val="10"/>
        </w:rPr>
      </w:pPr>
    </w:p>
    <w:p w14:paraId="4226E755" w14:textId="63442120" w:rsidR="00345E8C" w:rsidRPr="00C41548" w:rsidRDefault="00345E8C" w:rsidP="00345E8C">
      <w:pPr>
        <w:jc w:val="both"/>
        <w:rPr>
          <w:rFonts w:ascii="Calibri" w:eastAsia="Times New Roman" w:hAnsi="Calibri" w:cs="Calibri"/>
          <w:color w:val="000000" w:themeColor="text1"/>
          <w:sz w:val="28"/>
          <w:szCs w:val="28"/>
        </w:rPr>
      </w:pPr>
      <w:r w:rsidRPr="00C41548">
        <w:rPr>
          <w:rFonts w:ascii="Calibri" w:eastAsia="Times New Roman" w:hAnsi="Calibri" w:cs="Calibri"/>
          <w:color w:val="000000" w:themeColor="text1"/>
          <w:sz w:val="28"/>
          <w:szCs w:val="28"/>
        </w:rPr>
        <w:t>The Hammonds then appealed.</w:t>
      </w:r>
    </w:p>
    <w:p w14:paraId="3BE17A7F" w14:textId="77777777" w:rsidR="00345E8C" w:rsidRDefault="00345E8C" w:rsidP="000B22E5">
      <w:pPr>
        <w:jc w:val="both"/>
        <w:rPr>
          <w:rFonts w:ascii="Calibri" w:eastAsia="Times New Roman" w:hAnsi="Calibri" w:cs="Calibri"/>
          <w:sz w:val="10"/>
          <w:szCs w:val="10"/>
        </w:rPr>
      </w:pPr>
    </w:p>
    <w:p w14:paraId="7862C3F8" w14:textId="77777777" w:rsidR="00F73FA9" w:rsidRDefault="00F73FA9" w:rsidP="000B22E5">
      <w:pPr>
        <w:jc w:val="both"/>
        <w:rPr>
          <w:rFonts w:ascii="Calibri" w:eastAsia="Times New Roman" w:hAnsi="Calibri" w:cs="Calibri"/>
          <w:sz w:val="10"/>
          <w:szCs w:val="10"/>
        </w:rPr>
      </w:pPr>
    </w:p>
    <w:p w14:paraId="580A5538" w14:textId="77777777" w:rsidR="00F73FA9" w:rsidRDefault="00F73FA9" w:rsidP="000B22E5">
      <w:pPr>
        <w:jc w:val="both"/>
        <w:rPr>
          <w:rFonts w:ascii="Calibri" w:eastAsia="Times New Roman" w:hAnsi="Calibri" w:cs="Calibri"/>
          <w:sz w:val="10"/>
          <w:szCs w:val="10"/>
        </w:rPr>
      </w:pPr>
    </w:p>
    <w:p w14:paraId="464A3D2F" w14:textId="77777777" w:rsidR="00F73FA9" w:rsidRDefault="00F73FA9" w:rsidP="000B22E5">
      <w:pPr>
        <w:jc w:val="both"/>
        <w:rPr>
          <w:rFonts w:ascii="Calibri" w:eastAsia="Times New Roman" w:hAnsi="Calibri" w:cs="Calibri"/>
          <w:sz w:val="10"/>
          <w:szCs w:val="10"/>
        </w:rPr>
      </w:pPr>
    </w:p>
    <w:p w14:paraId="6749DF0A" w14:textId="77777777" w:rsidR="00F73FA9" w:rsidRDefault="00F73FA9" w:rsidP="000B22E5">
      <w:pPr>
        <w:jc w:val="both"/>
        <w:rPr>
          <w:rFonts w:ascii="Calibri" w:eastAsia="Times New Roman" w:hAnsi="Calibri" w:cs="Calibri"/>
          <w:sz w:val="10"/>
          <w:szCs w:val="10"/>
        </w:rPr>
      </w:pPr>
    </w:p>
    <w:p w14:paraId="18AC2BE7" w14:textId="77777777" w:rsidR="00F73FA9" w:rsidRDefault="00F73FA9" w:rsidP="000B22E5">
      <w:pPr>
        <w:jc w:val="both"/>
        <w:rPr>
          <w:rFonts w:ascii="Calibri" w:eastAsia="Times New Roman" w:hAnsi="Calibri" w:cs="Calibri"/>
          <w:sz w:val="10"/>
          <w:szCs w:val="10"/>
        </w:rPr>
      </w:pPr>
    </w:p>
    <w:p w14:paraId="643497D4" w14:textId="17FE7A72" w:rsidR="00345E8C" w:rsidRDefault="000B22E5" w:rsidP="000B22E5">
      <w:pPr>
        <w:jc w:val="both"/>
        <w:rPr>
          <w:rFonts w:ascii="Calibri" w:eastAsia="Times New Roman" w:hAnsi="Calibri" w:cs="Calibri"/>
          <w:b/>
          <w:sz w:val="28"/>
          <w:szCs w:val="28"/>
        </w:rPr>
      </w:pPr>
      <w:r w:rsidRPr="000B22E5">
        <w:rPr>
          <w:rFonts w:ascii="Calibri" w:eastAsia="Times New Roman" w:hAnsi="Calibri" w:cs="Calibri"/>
          <w:sz w:val="10"/>
          <w:szCs w:val="10"/>
        </w:rPr>
        <w:lastRenderedPageBreak/>
        <w:br/>
      </w:r>
      <w:r w:rsidR="00345E8C">
        <w:rPr>
          <w:rFonts w:ascii="Calibri" w:eastAsia="Times New Roman" w:hAnsi="Calibri" w:cs="Calibri"/>
          <w:b/>
          <w:sz w:val="28"/>
          <w:szCs w:val="28"/>
        </w:rPr>
        <w:t>ISSUE</w:t>
      </w:r>
    </w:p>
    <w:p w14:paraId="4848626E" w14:textId="2881FC5C" w:rsidR="00345E8C" w:rsidRPr="00B760C9" w:rsidRDefault="00345E8C" w:rsidP="000B22E5">
      <w:pPr>
        <w:jc w:val="both"/>
        <w:rPr>
          <w:rFonts w:ascii="Calibri" w:eastAsia="Times New Roman" w:hAnsi="Calibri" w:cs="Calibri"/>
          <w:b/>
          <w:sz w:val="10"/>
          <w:szCs w:val="10"/>
        </w:rPr>
      </w:pPr>
    </w:p>
    <w:p w14:paraId="79CDED29" w14:textId="09083C0B" w:rsidR="00345E8C" w:rsidRPr="00C41548" w:rsidRDefault="00345E8C" w:rsidP="00345E8C">
      <w:pPr>
        <w:autoSpaceDE w:val="0"/>
        <w:autoSpaceDN w:val="0"/>
        <w:adjustRightInd w:val="0"/>
        <w:jc w:val="both"/>
        <w:rPr>
          <w:rFonts w:ascii="Calibri" w:hAnsi="Calibri" w:cs="Calibri"/>
          <w:color w:val="000000" w:themeColor="text1"/>
          <w:sz w:val="28"/>
          <w:szCs w:val="28"/>
        </w:rPr>
      </w:pPr>
      <w:r>
        <w:rPr>
          <w:rFonts w:ascii="Calibri" w:hAnsi="Calibri" w:cs="Calibri"/>
          <w:color w:val="000000" w:themeColor="text1"/>
          <w:sz w:val="28"/>
          <w:szCs w:val="28"/>
        </w:rPr>
        <w:t xml:space="preserve">Will </w:t>
      </w:r>
      <w:r w:rsidRPr="00C41548">
        <w:rPr>
          <w:rFonts w:ascii="Calibri" w:hAnsi="Calibri" w:cs="Calibri"/>
          <w:color w:val="000000" w:themeColor="text1"/>
          <w:sz w:val="28"/>
          <w:szCs w:val="28"/>
        </w:rPr>
        <w:t>a deed con</w:t>
      </w:r>
      <w:r>
        <w:rPr>
          <w:rFonts w:ascii="Calibri" w:hAnsi="Calibri" w:cs="Calibri"/>
          <w:color w:val="000000" w:themeColor="text1"/>
          <w:sz w:val="28"/>
          <w:szCs w:val="28"/>
        </w:rPr>
        <w:t>t</w:t>
      </w:r>
      <w:r w:rsidRPr="00C41548">
        <w:rPr>
          <w:rFonts w:ascii="Calibri" w:hAnsi="Calibri" w:cs="Calibri"/>
          <w:color w:val="000000" w:themeColor="text1"/>
          <w:sz w:val="28"/>
          <w:szCs w:val="28"/>
        </w:rPr>
        <w:t>aining a cond</w:t>
      </w:r>
      <w:r>
        <w:rPr>
          <w:rFonts w:ascii="Calibri" w:hAnsi="Calibri" w:cs="Calibri"/>
          <w:color w:val="000000" w:themeColor="text1"/>
          <w:sz w:val="28"/>
          <w:szCs w:val="28"/>
        </w:rPr>
        <w:t>it</w:t>
      </w:r>
      <w:r w:rsidRPr="00C41548">
        <w:rPr>
          <w:rFonts w:ascii="Calibri" w:hAnsi="Calibri" w:cs="Calibri"/>
          <w:color w:val="000000" w:themeColor="text1"/>
          <w:sz w:val="28"/>
          <w:szCs w:val="28"/>
        </w:rPr>
        <w:t>ion subsequent be strictly</w:t>
      </w:r>
      <w:r>
        <w:rPr>
          <w:rFonts w:ascii="Calibri" w:hAnsi="Calibri" w:cs="Calibri"/>
          <w:color w:val="000000" w:themeColor="text1"/>
          <w:sz w:val="28"/>
          <w:szCs w:val="28"/>
        </w:rPr>
        <w:t xml:space="preserve"> construed </w:t>
      </w:r>
      <w:proofErr w:type="gramStart"/>
      <w:r>
        <w:rPr>
          <w:rFonts w:ascii="Calibri" w:hAnsi="Calibri" w:cs="Calibri"/>
          <w:color w:val="000000" w:themeColor="text1"/>
          <w:sz w:val="28"/>
          <w:szCs w:val="28"/>
        </w:rPr>
        <w:t xml:space="preserve">so as </w:t>
      </w:r>
      <w:r w:rsidRPr="00C41548">
        <w:rPr>
          <w:rFonts w:ascii="Calibri" w:hAnsi="Calibri" w:cs="Calibri"/>
          <w:color w:val="000000" w:themeColor="text1"/>
          <w:sz w:val="28"/>
          <w:szCs w:val="28"/>
        </w:rPr>
        <w:t>to</w:t>
      </w:r>
      <w:proofErr w:type="gramEnd"/>
      <w:r w:rsidRPr="00C41548">
        <w:rPr>
          <w:rFonts w:ascii="Calibri" w:hAnsi="Calibri" w:cs="Calibri"/>
          <w:color w:val="000000" w:themeColor="text1"/>
          <w:sz w:val="28"/>
          <w:szCs w:val="28"/>
        </w:rPr>
        <w:t xml:space="preserve"> </w:t>
      </w:r>
      <w:r>
        <w:rPr>
          <w:rFonts w:ascii="Calibri" w:hAnsi="Calibri" w:cs="Calibri"/>
          <w:color w:val="000000" w:themeColor="text1"/>
          <w:sz w:val="28"/>
          <w:szCs w:val="28"/>
        </w:rPr>
        <w:t>confine</w:t>
      </w:r>
      <w:r w:rsidRPr="00C41548">
        <w:rPr>
          <w:rFonts w:ascii="Calibri" w:hAnsi="Calibri" w:cs="Calibri"/>
          <w:color w:val="000000" w:themeColor="text1"/>
          <w:sz w:val="28"/>
          <w:szCs w:val="28"/>
        </w:rPr>
        <w:t xml:space="preserve"> the determination of intent </w:t>
      </w:r>
      <w:r>
        <w:rPr>
          <w:rFonts w:ascii="Calibri" w:hAnsi="Calibri" w:cs="Calibri"/>
          <w:color w:val="000000" w:themeColor="text1"/>
          <w:sz w:val="28"/>
          <w:szCs w:val="28"/>
        </w:rPr>
        <w:t>to</w:t>
      </w:r>
      <w:r w:rsidRPr="00C41548">
        <w:rPr>
          <w:rFonts w:ascii="Calibri" w:hAnsi="Calibri" w:cs="Calibri"/>
          <w:color w:val="000000" w:themeColor="text1"/>
          <w:sz w:val="28"/>
          <w:szCs w:val="28"/>
        </w:rPr>
        <w:t xml:space="preserve"> </w:t>
      </w:r>
      <w:r>
        <w:rPr>
          <w:rFonts w:ascii="Calibri" w:hAnsi="Calibri" w:cs="Calibri"/>
          <w:color w:val="000000" w:themeColor="text1"/>
          <w:sz w:val="28"/>
          <w:szCs w:val="28"/>
        </w:rPr>
        <w:t>the f</w:t>
      </w:r>
      <w:r w:rsidRPr="00C41548">
        <w:rPr>
          <w:rFonts w:ascii="Calibri" w:hAnsi="Calibri" w:cs="Calibri"/>
          <w:color w:val="000000" w:themeColor="text1"/>
          <w:sz w:val="28"/>
          <w:szCs w:val="28"/>
        </w:rPr>
        <w:t>ace of the</w:t>
      </w:r>
      <w:r>
        <w:rPr>
          <w:rFonts w:ascii="Calibri" w:hAnsi="Calibri" w:cs="Calibri"/>
          <w:color w:val="000000" w:themeColor="text1"/>
          <w:sz w:val="28"/>
          <w:szCs w:val="28"/>
        </w:rPr>
        <w:t xml:space="preserve"> </w:t>
      </w:r>
      <w:r w:rsidRPr="00C41548">
        <w:rPr>
          <w:rFonts w:ascii="Calibri" w:hAnsi="Calibri" w:cs="Calibri"/>
          <w:color w:val="000000" w:themeColor="text1"/>
          <w:sz w:val="28"/>
          <w:szCs w:val="28"/>
        </w:rPr>
        <w:t>deed?</w:t>
      </w:r>
    </w:p>
    <w:p w14:paraId="5A04494A" w14:textId="77777777" w:rsidR="002E4AC4" w:rsidRDefault="002E4AC4" w:rsidP="00345E8C">
      <w:pPr>
        <w:autoSpaceDE w:val="0"/>
        <w:autoSpaceDN w:val="0"/>
        <w:adjustRightInd w:val="0"/>
        <w:jc w:val="both"/>
        <w:rPr>
          <w:rFonts w:ascii="Calibri" w:hAnsi="Calibri" w:cs="Calibri"/>
          <w:color w:val="000000" w:themeColor="text1"/>
          <w:sz w:val="28"/>
          <w:szCs w:val="28"/>
        </w:rPr>
      </w:pPr>
    </w:p>
    <w:p w14:paraId="4F248739" w14:textId="77777777" w:rsidR="002E4AC4" w:rsidRDefault="00345E8C" w:rsidP="00345E8C">
      <w:pPr>
        <w:autoSpaceDE w:val="0"/>
        <w:autoSpaceDN w:val="0"/>
        <w:adjustRightInd w:val="0"/>
        <w:jc w:val="both"/>
        <w:rPr>
          <w:rFonts w:ascii="Calibri" w:hAnsi="Calibri" w:cs="Calibri"/>
          <w:color w:val="000000" w:themeColor="text1"/>
          <w:sz w:val="28"/>
          <w:szCs w:val="28"/>
        </w:rPr>
      </w:pPr>
      <w:r w:rsidRPr="002E4AC4">
        <w:rPr>
          <w:rFonts w:ascii="Calibri" w:hAnsi="Calibri" w:cs="Calibri"/>
          <w:b/>
          <w:color w:val="000000" w:themeColor="text1"/>
          <w:sz w:val="28"/>
          <w:szCs w:val="28"/>
        </w:rPr>
        <w:t>HOLDING AND DECISION:</w:t>
      </w:r>
      <w:r w:rsidRPr="00C41548">
        <w:rPr>
          <w:rFonts w:ascii="Calibri" w:hAnsi="Calibri" w:cs="Calibri"/>
          <w:color w:val="000000" w:themeColor="text1"/>
          <w:sz w:val="28"/>
          <w:szCs w:val="28"/>
        </w:rPr>
        <w:t xml:space="preserve"> (Horton. J.) </w:t>
      </w:r>
    </w:p>
    <w:p w14:paraId="73D01740" w14:textId="77777777" w:rsidR="002E4AC4" w:rsidRDefault="002E4AC4" w:rsidP="00345E8C">
      <w:pPr>
        <w:autoSpaceDE w:val="0"/>
        <w:autoSpaceDN w:val="0"/>
        <w:adjustRightInd w:val="0"/>
        <w:jc w:val="both"/>
        <w:rPr>
          <w:rFonts w:ascii="Calibri" w:hAnsi="Calibri" w:cs="Calibri"/>
          <w:color w:val="000000" w:themeColor="text1"/>
          <w:sz w:val="28"/>
          <w:szCs w:val="28"/>
        </w:rPr>
      </w:pPr>
    </w:p>
    <w:p w14:paraId="5F60E935" w14:textId="630F4F0B" w:rsidR="002E4AC4" w:rsidRDefault="00345E8C" w:rsidP="002E4AC4">
      <w:pPr>
        <w:pStyle w:val="ListParagraph"/>
        <w:numPr>
          <w:ilvl w:val="0"/>
          <w:numId w:val="3"/>
        </w:numPr>
        <w:autoSpaceDE w:val="0"/>
        <w:autoSpaceDN w:val="0"/>
        <w:adjustRightInd w:val="0"/>
        <w:jc w:val="both"/>
        <w:rPr>
          <w:rFonts w:ascii="Calibri" w:hAnsi="Calibri" w:cs="Calibri"/>
          <w:color w:val="000000" w:themeColor="text1"/>
          <w:sz w:val="28"/>
          <w:szCs w:val="28"/>
        </w:rPr>
      </w:pPr>
      <w:r w:rsidRPr="002E4AC4">
        <w:rPr>
          <w:rFonts w:ascii="Calibri" w:hAnsi="Calibri" w:cs="Calibri"/>
          <w:color w:val="000000" w:themeColor="text1"/>
          <w:sz w:val="28"/>
          <w:szCs w:val="28"/>
        </w:rPr>
        <w:t xml:space="preserve">Yes. </w:t>
      </w:r>
      <w:r w:rsidR="002E4AC4" w:rsidRPr="002E4AC4">
        <w:rPr>
          <w:rFonts w:ascii="Calibri" w:hAnsi="Calibri" w:cs="Calibri"/>
          <w:bCs/>
          <w:color w:val="000000" w:themeColor="text1"/>
          <w:sz w:val="28"/>
          <w:szCs w:val="28"/>
        </w:rPr>
        <w:t>A deed</w:t>
      </w:r>
      <w:r w:rsidR="002E4AC4" w:rsidRPr="002E4AC4">
        <w:rPr>
          <w:rFonts w:ascii="Calibri" w:hAnsi="Calibri" w:cs="Calibri"/>
          <w:b/>
          <w:bCs/>
          <w:color w:val="000000" w:themeColor="text1"/>
          <w:sz w:val="28"/>
          <w:szCs w:val="28"/>
        </w:rPr>
        <w:t xml:space="preserve"> </w:t>
      </w:r>
      <w:r w:rsidR="002E4AC4" w:rsidRPr="002E4AC4">
        <w:rPr>
          <w:rFonts w:ascii="Calibri" w:hAnsi="Calibri" w:cs="Calibri"/>
          <w:color w:val="000000" w:themeColor="text1"/>
          <w:sz w:val="28"/>
          <w:szCs w:val="28"/>
        </w:rPr>
        <w:t xml:space="preserve">containing a condition subsequent will be strictly construed to confine the </w:t>
      </w:r>
      <w:proofErr w:type="gramStart"/>
      <w:r w:rsidR="002E4AC4" w:rsidRPr="002E4AC4">
        <w:rPr>
          <w:rFonts w:ascii="Calibri" w:hAnsi="Calibri" w:cs="Calibri"/>
          <w:color w:val="000000" w:themeColor="text1"/>
          <w:sz w:val="28"/>
          <w:szCs w:val="28"/>
        </w:rPr>
        <w:t>determination  of</w:t>
      </w:r>
      <w:proofErr w:type="gramEnd"/>
      <w:r w:rsidR="002E4AC4" w:rsidRPr="002E4AC4">
        <w:rPr>
          <w:rFonts w:ascii="Calibri" w:hAnsi="Calibri" w:cs="Calibri"/>
          <w:color w:val="000000" w:themeColor="text1"/>
          <w:sz w:val="28"/>
          <w:szCs w:val="28"/>
        </w:rPr>
        <w:t xml:space="preserve"> intent to the face of the deed.</w:t>
      </w:r>
    </w:p>
    <w:p w14:paraId="5D5831A3" w14:textId="77777777" w:rsidR="002E4AC4" w:rsidRPr="00214996" w:rsidRDefault="002E4AC4" w:rsidP="002E4AC4">
      <w:pPr>
        <w:pStyle w:val="ListParagraph"/>
        <w:autoSpaceDE w:val="0"/>
        <w:autoSpaceDN w:val="0"/>
        <w:adjustRightInd w:val="0"/>
        <w:jc w:val="both"/>
        <w:rPr>
          <w:rFonts w:ascii="Calibri" w:hAnsi="Calibri" w:cs="Calibri"/>
          <w:color w:val="000000" w:themeColor="text1"/>
          <w:sz w:val="10"/>
          <w:szCs w:val="10"/>
        </w:rPr>
      </w:pPr>
    </w:p>
    <w:p w14:paraId="3EAD6F80" w14:textId="1E9B67A1" w:rsidR="002E4AC4" w:rsidRDefault="002E4AC4" w:rsidP="0039045F">
      <w:pPr>
        <w:pStyle w:val="ListParagraph"/>
        <w:numPr>
          <w:ilvl w:val="0"/>
          <w:numId w:val="3"/>
        </w:numPr>
        <w:autoSpaceDE w:val="0"/>
        <w:autoSpaceDN w:val="0"/>
        <w:adjustRightInd w:val="0"/>
        <w:jc w:val="both"/>
        <w:rPr>
          <w:rFonts w:ascii="Calibri" w:hAnsi="Calibri" w:cs="Calibri"/>
          <w:color w:val="000000" w:themeColor="text1"/>
          <w:sz w:val="28"/>
          <w:szCs w:val="28"/>
        </w:rPr>
      </w:pPr>
      <w:r>
        <w:rPr>
          <w:rFonts w:ascii="Calibri" w:hAnsi="Calibri" w:cs="Calibri"/>
          <w:color w:val="000000" w:themeColor="text1"/>
          <w:sz w:val="28"/>
          <w:szCs w:val="28"/>
        </w:rPr>
        <w:t xml:space="preserve">Condition </w:t>
      </w:r>
      <w:proofErr w:type="spellStart"/>
      <w:r>
        <w:rPr>
          <w:rFonts w:ascii="Calibri" w:hAnsi="Calibri" w:cs="Calibri"/>
          <w:color w:val="000000" w:themeColor="text1"/>
          <w:sz w:val="28"/>
          <w:szCs w:val="28"/>
        </w:rPr>
        <w:t>subseq</w:t>
      </w:r>
      <w:r w:rsidRPr="002E4AC4">
        <w:rPr>
          <w:rFonts w:ascii="Calibri" w:hAnsi="Calibri" w:cs="Calibri"/>
          <w:color w:val="000000" w:themeColor="text1"/>
          <w:sz w:val="28"/>
          <w:szCs w:val="28"/>
        </w:rPr>
        <w:t>uents</w:t>
      </w:r>
      <w:proofErr w:type="spellEnd"/>
      <w:r w:rsidRPr="002E4AC4">
        <w:rPr>
          <w:rFonts w:ascii="Calibri" w:hAnsi="Calibri" w:cs="Calibri"/>
          <w:color w:val="000000" w:themeColor="text1"/>
          <w:sz w:val="28"/>
          <w:szCs w:val="28"/>
        </w:rPr>
        <w:t xml:space="preserve"> </w:t>
      </w:r>
      <w:proofErr w:type="gramStart"/>
      <w:r w:rsidR="00345E8C" w:rsidRPr="002E4AC4">
        <w:rPr>
          <w:rFonts w:ascii="Calibri" w:hAnsi="Calibri" w:cs="Calibri"/>
          <w:color w:val="000000" w:themeColor="text1"/>
          <w:sz w:val="28"/>
          <w:szCs w:val="28"/>
        </w:rPr>
        <w:t>are viewed</w:t>
      </w:r>
      <w:proofErr w:type="gramEnd"/>
      <w:r w:rsidR="00345E8C" w:rsidRPr="002E4AC4">
        <w:rPr>
          <w:rFonts w:ascii="Calibri" w:hAnsi="Calibri" w:cs="Calibri"/>
          <w:color w:val="000000" w:themeColor="text1"/>
          <w:sz w:val="28"/>
          <w:szCs w:val="28"/>
        </w:rPr>
        <w:t xml:space="preserve"> </w:t>
      </w:r>
      <w:r w:rsidRPr="002E4AC4">
        <w:rPr>
          <w:rFonts w:ascii="Calibri" w:hAnsi="Calibri" w:cs="Calibri"/>
          <w:color w:val="000000" w:themeColor="text1"/>
          <w:sz w:val="28"/>
          <w:szCs w:val="28"/>
        </w:rPr>
        <w:t>with disf</w:t>
      </w:r>
      <w:r w:rsidR="00345E8C" w:rsidRPr="002E4AC4">
        <w:rPr>
          <w:rFonts w:ascii="Calibri" w:hAnsi="Calibri" w:cs="Calibri"/>
          <w:color w:val="000000" w:themeColor="text1"/>
          <w:sz w:val="28"/>
          <w:szCs w:val="28"/>
        </w:rPr>
        <w:t>avor because of the</w:t>
      </w:r>
      <w:r w:rsidRPr="002E4AC4">
        <w:rPr>
          <w:rFonts w:ascii="Calibri" w:hAnsi="Calibri" w:cs="Calibri"/>
          <w:color w:val="000000" w:themeColor="text1"/>
          <w:sz w:val="28"/>
          <w:szCs w:val="28"/>
        </w:rPr>
        <w:t>ir</w:t>
      </w:r>
      <w:r w:rsidR="00345E8C" w:rsidRPr="002E4AC4">
        <w:rPr>
          <w:rFonts w:ascii="Calibri" w:hAnsi="Calibri" w:cs="Calibri"/>
          <w:color w:val="000000" w:themeColor="text1"/>
          <w:sz w:val="28"/>
          <w:szCs w:val="28"/>
        </w:rPr>
        <w:t xml:space="preserve"> </w:t>
      </w:r>
      <w:r w:rsidRPr="002E4AC4">
        <w:rPr>
          <w:rFonts w:ascii="Calibri" w:hAnsi="Calibri" w:cs="Calibri"/>
          <w:color w:val="000000" w:themeColor="text1"/>
          <w:sz w:val="28"/>
          <w:szCs w:val="28"/>
        </w:rPr>
        <w:t>pot</w:t>
      </w:r>
      <w:r w:rsidR="00345E8C" w:rsidRPr="002E4AC4">
        <w:rPr>
          <w:rFonts w:ascii="Calibri" w:hAnsi="Calibri" w:cs="Calibri"/>
          <w:color w:val="000000" w:themeColor="text1"/>
          <w:sz w:val="28"/>
          <w:szCs w:val="28"/>
        </w:rPr>
        <w:t>ential</w:t>
      </w:r>
      <w:r w:rsidRPr="002E4AC4">
        <w:rPr>
          <w:rFonts w:ascii="Calibri" w:hAnsi="Calibri" w:cs="Calibri"/>
          <w:color w:val="000000" w:themeColor="text1"/>
          <w:sz w:val="28"/>
          <w:szCs w:val="28"/>
        </w:rPr>
        <w:t xml:space="preserve"> </w:t>
      </w:r>
      <w:r w:rsidR="00345E8C" w:rsidRPr="002E4AC4">
        <w:rPr>
          <w:rFonts w:ascii="Calibri" w:hAnsi="Calibri" w:cs="Calibri"/>
          <w:color w:val="000000" w:themeColor="text1"/>
          <w:sz w:val="28"/>
          <w:szCs w:val="28"/>
        </w:rPr>
        <w:t xml:space="preserve">to </w:t>
      </w:r>
      <w:r>
        <w:rPr>
          <w:rFonts w:ascii="Calibri" w:hAnsi="Calibri" w:cs="Calibri"/>
          <w:color w:val="000000" w:themeColor="text1"/>
          <w:sz w:val="28"/>
          <w:szCs w:val="28"/>
        </w:rPr>
        <w:t>cause a forfeiture of</w:t>
      </w:r>
      <w:r w:rsidR="00345E8C" w:rsidRPr="002E4AC4">
        <w:rPr>
          <w:rFonts w:ascii="Calibri" w:hAnsi="Calibri" w:cs="Calibri"/>
          <w:color w:val="000000" w:themeColor="text1"/>
          <w:sz w:val="28"/>
          <w:szCs w:val="28"/>
        </w:rPr>
        <w:t xml:space="preserve"> land. </w:t>
      </w:r>
    </w:p>
    <w:p w14:paraId="4AE35511" w14:textId="77777777" w:rsidR="002E4AC4" w:rsidRPr="00214996" w:rsidRDefault="002E4AC4" w:rsidP="002E4AC4">
      <w:pPr>
        <w:pStyle w:val="ListParagraph"/>
        <w:autoSpaceDE w:val="0"/>
        <w:autoSpaceDN w:val="0"/>
        <w:adjustRightInd w:val="0"/>
        <w:jc w:val="both"/>
        <w:rPr>
          <w:rFonts w:ascii="Calibri" w:hAnsi="Calibri" w:cs="Calibri"/>
          <w:color w:val="000000" w:themeColor="text1"/>
          <w:sz w:val="10"/>
          <w:szCs w:val="10"/>
        </w:rPr>
      </w:pPr>
    </w:p>
    <w:p w14:paraId="7960B21C" w14:textId="0D9DC47A" w:rsidR="002E4AC4" w:rsidRDefault="00345E8C" w:rsidP="005B7E5A">
      <w:pPr>
        <w:pStyle w:val="ListParagraph"/>
        <w:numPr>
          <w:ilvl w:val="0"/>
          <w:numId w:val="3"/>
        </w:numPr>
        <w:autoSpaceDE w:val="0"/>
        <w:autoSpaceDN w:val="0"/>
        <w:adjustRightInd w:val="0"/>
        <w:jc w:val="both"/>
        <w:rPr>
          <w:rFonts w:ascii="Calibri" w:hAnsi="Calibri" w:cs="Calibri"/>
          <w:color w:val="000000" w:themeColor="text1"/>
          <w:sz w:val="28"/>
          <w:szCs w:val="28"/>
        </w:rPr>
      </w:pPr>
      <w:r w:rsidRPr="002E4AC4">
        <w:rPr>
          <w:rFonts w:ascii="Calibri" w:hAnsi="Calibri" w:cs="Calibri"/>
          <w:color w:val="000000" w:themeColor="text1"/>
          <w:sz w:val="28"/>
          <w:szCs w:val="28"/>
        </w:rPr>
        <w:t xml:space="preserve">The </w:t>
      </w:r>
      <w:r w:rsidR="002E4AC4" w:rsidRPr="002E4AC4">
        <w:rPr>
          <w:rFonts w:ascii="Calibri" w:hAnsi="Calibri" w:cs="Calibri"/>
          <w:color w:val="000000" w:themeColor="text1"/>
          <w:sz w:val="28"/>
          <w:szCs w:val="28"/>
        </w:rPr>
        <w:t>rule of</w:t>
      </w:r>
      <w:r w:rsidRPr="002E4AC4">
        <w:rPr>
          <w:rFonts w:ascii="Calibri" w:hAnsi="Calibri" w:cs="Calibri"/>
          <w:color w:val="000000" w:themeColor="text1"/>
          <w:sz w:val="28"/>
          <w:szCs w:val="28"/>
        </w:rPr>
        <w:t xml:space="preserve"> </w:t>
      </w:r>
      <w:r w:rsidR="002E4AC4" w:rsidRPr="002E4AC4">
        <w:rPr>
          <w:rFonts w:ascii="Calibri" w:hAnsi="Calibri" w:cs="Calibri"/>
          <w:color w:val="000000" w:themeColor="text1"/>
          <w:sz w:val="28"/>
          <w:szCs w:val="28"/>
        </w:rPr>
        <w:t>strict c</w:t>
      </w:r>
      <w:r w:rsidRPr="002E4AC4">
        <w:rPr>
          <w:rFonts w:ascii="Calibri" w:hAnsi="Calibri" w:cs="Calibri"/>
          <w:color w:val="000000" w:themeColor="text1"/>
          <w:sz w:val="28"/>
          <w:szCs w:val="28"/>
        </w:rPr>
        <w:t>onstruc</w:t>
      </w:r>
      <w:r w:rsidR="002E4AC4" w:rsidRPr="002E4AC4">
        <w:rPr>
          <w:rFonts w:ascii="Calibri" w:hAnsi="Calibri" w:cs="Calibri"/>
          <w:color w:val="000000" w:themeColor="text1"/>
          <w:sz w:val="28"/>
          <w:szCs w:val="28"/>
        </w:rPr>
        <w:t>ti</w:t>
      </w:r>
      <w:r w:rsidRPr="002E4AC4">
        <w:rPr>
          <w:rFonts w:ascii="Calibri" w:hAnsi="Calibri" w:cs="Calibri"/>
          <w:color w:val="000000" w:themeColor="text1"/>
          <w:sz w:val="28"/>
          <w:szCs w:val="28"/>
        </w:rPr>
        <w:t>on</w:t>
      </w:r>
      <w:r w:rsidR="002E4AC4" w:rsidRPr="002E4AC4">
        <w:rPr>
          <w:rFonts w:ascii="Calibri" w:hAnsi="Calibri" w:cs="Calibri"/>
          <w:color w:val="000000" w:themeColor="text1"/>
          <w:sz w:val="28"/>
          <w:szCs w:val="28"/>
        </w:rPr>
        <w:t xml:space="preserve"> resolves all </w:t>
      </w:r>
      <w:r w:rsidR="002E4AC4">
        <w:rPr>
          <w:rFonts w:ascii="Calibri" w:hAnsi="Calibri" w:cs="Calibri"/>
          <w:color w:val="000000" w:themeColor="text1"/>
          <w:sz w:val="28"/>
          <w:szCs w:val="28"/>
        </w:rPr>
        <w:t>ambiguit</w:t>
      </w:r>
      <w:r w:rsidRPr="002E4AC4">
        <w:rPr>
          <w:rFonts w:ascii="Calibri" w:hAnsi="Calibri" w:cs="Calibri"/>
          <w:color w:val="000000" w:themeColor="text1"/>
          <w:sz w:val="28"/>
          <w:szCs w:val="28"/>
        </w:rPr>
        <w:t xml:space="preserve">ies against </w:t>
      </w:r>
      <w:r w:rsidR="002E4AC4">
        <w:rPr>
          <w:rFonts w:ascii="Calibri" w:hAnsi="Calibri" w:cs="Calibri"/>
          <w:color w:val="000000" w:themeColor="text1"/>
          <w:sz w:val="28"/>
          <w:szCs w:val="28"/>
        </w:rPr>
        <w:t>forfeiture.</w:t>
      </w:r>
    </w:p>
    <w:p w14:paraId="788729CC" w14:textId="77777777" w:rsidR="002E4AC4" w:rsidRPr="00214996" w:rsidRDefault="002E4AC4" w:rsidP="002E4AC4">
      <w:pPr>
        <w:pStyle w:val="ListParagraph"/>
        <w:autoSpaceDE w:val="0"/>
        <w:autoSpaceDN w:val="0"/>
        <w:adjustRightInd w:val="0"/>
        <w:jc w:val="both"/>
        <w:rPr>
          <w:rFonts w:ascii="Calibri" w:hAnsi="Calibri" w:cs="Calibri"/>
          <w:color w:val="000000" w:themeColor="text1"/>
          <w:sz w:val="10"/>
          <w:szCs w:val="10"/>
        </w:rPr>
      </w:pPr>
    </w:p>
    <w:p w14:paraId="68DC9ABB" w14:textId="77777777" w:rsidR="002E4AC4" w:rsidRDefault="00345E8C" w:rsidP="00792085">
      <w:pPr>
        <w:pStyle w:val="ListParagraph"/>
        <w:numPr>
          <w:ilvl w:val="0"/>
          <w:numId w:val="3"/>
        </w:numPr>
        <w:autoSpaceDE w:val="0"/>
        <w:autoSpaceDN w:val="0"/>
        <w:adjustRightInd w:val="0"/>
        <w:jc w:val="both"/>
        <w:rPr>
          <w:rFonts w:ascii="Calibri" w:hAnsi="Calibri" w:cs="Calibri"/>
          <w:color w:val="000000" w:themeColor="text1"/>
          <w:sz w:val="28"/>
          <w:szCs w:val="28"/>
        </w:rPr>
      </w:pPr>
      <w:r w:rsidRPr="002E4AC4">
        <w:rPr>
          <w:rFonts w:ascii="Calibri" w:hAnsi="Calibri" w:cs="Calibri"/>
          <w:color w:val="000000" w:themeColor="text1"/>
          <w:sz w:val="28"/>
          <w:szCs w:val="28"/>
        </w:rPr>
        <w:t xml:space="preserve">The trial </w:t>
      </w:r>
      <w:r w:rsidR="002E4AC4" w:rsidRPr="002E4AC4">
        <w:rPr>
          <w:rFonts w:ascii="Calibri" w:hAnsi="Calibri" w:cs="Calibri"/>
          <w:color w:val="000000" w:themeColor="text1"/>
          <w:sz w:val="28"/>
          <w:szCs w:val="28"/>
        </w:rPr>
        <w:t xml:space="preserve">court </w:t>
      </w:r>
      <w:r w:rsidRPr="002E4AC4">
        <w:rPr>
          <w:rFonts w:ascii="Calibri" w:hAnsi="Calibri" w:cs="Calibri"/>
          <w:color w:val="000000" w:themeColor="text1"/>
          <w:sz w:val="28"/>
          <w:szCs w:val="28"/>
        </w:rPr>
        <w:t>did not</w:t>
      </w:r>
      <w:r w:rsidR="002E4AC4" w:rsidRPr="002E4AC4">
        <w:rPr>
          <w:rFonts w:ascii="Calibri" w:hAnsi="Calibri" w:cs="Calibri"/>
          <w:color w:val="000000" w:themeColor="text1"/>
          <w:sz w:val="28"/>
          <w:szCs w:val="28"/>
        </w:rPr>
        <w:t xml:space="preserve"> </w:t>
      </w:r>
      <w:r w:rsidRPr="002E4AC4">
        <w:rPr>
          <w:rFonts w:ascii="Calibri" w:hAnsi="Calibri" w:cs="Calibri"/>
          <w:color w:val="000000" w:themeColor="text1"/>
          <w:sz w:val="28"/>
          <w:szCs w:val="28"/>
        </w:rPr>
        <w:t xml:space="preserve">err in </w:t>
      </w:r>
      <w:r w:rsidR="002E4AC4" w:rsidRPr="002E4AC4">
        <w:rPr>
          <w:rFonts w:ascii="Calibri" w:hAnsi="Calibri" w:cs="Calibri"/>
          <w:color w:val="000000" w:themeColor="text1"/>
          <w:sz w:val="28"/>
          <w:szCs w:val="28"/>
        </w:rPr>
        <w:t xml:space="preserve">construing </w:t>
      </w:r>
      <w:r w:rsidRPr="002E4AC4">
        <w:rPr>
          <w:rFonts w:ascii="Calibri" w:hAnsi="Calibri" w:cs="Calibri"/>
          <w:color w:val="000000" w:themeColor="text1"/>
          <w:sz w:val="28"/>
          <w:szCs w:val="28"/>
        </w:rPr>
        <w:t>Red Hill's (P)</w:t>
      </w:r>
      <w:r w:rsidR="002E4AC4" w:rsidRPr="002E4AC4">
        <w:rPr>
          <w:rFonts w:ascii="Calibri" w:hAnsi="Calibri" w:cs="Calibri"/>
          <w:color w:val="000000" w:themeColor="text1"/>
          <w:sz w:val="28"/>
          <w:szCs w:val="28"/>
        </w:rPr>
        <w:t xml:space="preserve"> </w:t>
      </w:r>
      <w:r w:rsidRPr="002E4AC4">
        <w:rPr>
          <w:rFonts w:ascii="Calibri" w:hAnsi="Calibri" w:cs="Calibri"/>
          <w:color w:val="000000" w:themeColor="text1"/>
          <w:sz w:val="28"/>
          <w:szCs w:val="28"/>
        </w:rPr>
        <w:t>obligation as lim</w:t>
      </w:r>
      <w:r w:rsidR="002E4AC4" w:rsidRPr="002E4AC4">
        <w:rPr>
          <w:rFonts w:ascii="Calibri" w:hAnsi="Calibri" w:cs="Calibri"/>
          <w:color w:val="000000" w:themeColor="text1"/>
          <w:sz w:val="28"/>
          <w:szCs w:val="28"/>
        </w:rPr>
        <w:t>it</w:t>
      </w:r>
      <w:r w:rsidRPr="002E4AC4">
        <w:rPr>
          <w:rFonts w:ascii="Calibri" w:hAnsi="Calibri" w:cs="Calibri"/>
          <w:color w:val="000000" w:themeColor="text1"/>
          <w:sz w:val="28"/>
          <w:szCs w:val="28"/>
        </w:rPr>
        <w:t>ed to mai</w:t>
      </w:r>
      <w:r w:rsidR="002E4AC4" w:rsidRPr="002E4AC4">
        <w:rPr>
          <w:rFonts w:ascii="Calibri" w:hAnsi="Calibri" w:cs="Calibri"/>
          <w:color w:val="000000" w:themeColor="text1"/>
          <w:sz w:val="28"/>
          <w:szCs w:val="28"/>
        </w:rPr>
        <w:t>ntainin</w:t>
      </w:r>
      <w:r w:rsidRPr="002E4AC4">
        <w:rPr>
          <w:rFonts w:ascii="Calibri" w:hAnsi="Calibri" w:cs="Calibri"/>
          <w:color w:val="000000" w:themeColor="text1"/>
          <w:sz w:val="28"/>
          <w:szCs w:val="28"/>
        </w:rPr>
        <w:t>g</w:t>
      </w:r>
      <w:r w:rsidR="002E4AC4" w:rsidRPr="002E4AC4">
        <w:rPr>
          <w:rFonts w:ascii="Calibri" w:hAnsi="Calibri" w:cs="Calibri"/>
          <w:color w:val="000000" w:themeColor="text1"/>
          <w:sz w:val="28"/>
          <w:szCs w:val="28"/>
        </w:rPr>
        <w:t xml:space="preserve"> and making the </w:t>
      </w:r>
      <w:r w:rsidRPr="002E4AC4">
        <w:rPr>
          <w:rFonts w:ascii="Calibri" w:hAnsi="Calibri" w:cs="Calibri"/>
          <w:color w:val="000000" w:themeColor="text1"/>
          <w:sz w:val="28"/>
          <w:szCs w:val="28"/>
        </w:rPr>
        <w:t xml:space="preserve">available as a ski </w:t>
      </w:r>
      <w:r w:rsidR="002E4AC4" w:rsidRPr="002E4AC4">
        <w:rPr>
          <w:rFonts w:ascii="Calibri" w:hAnsi="Calibri" w:cs="Calibri"/>
          <w:color w:val="000000" w:themeColor="text1"/>
          <w:sz w:val="28"/>
          <w:szCs w:val="28"/>
        </w:rPr>
        <w:t>area, as the Club</w:t>
      </w:r>
      <w:r w:rsidRPr="002E4AC4">
        <w:rPr>
          <w:rFonts w:ascii="Calibri" w:hAnsi="Calibri" w:cs="Calibri"/>
          <w:color w:val="000000" w:themeColor="text1"/>
          <w:sz w:val="28"/>
          <w:szCs w:val="28"/>
        </w:rPr>
        <w:t xml:space="preserve"> was not r</w:t>
      </w:r>
      <w:r w:rsidR="002E4AC4" w:rsidRPr="002E4AC4">
        <w:rPr>
          <w:rFonts w:ascii="Calibri" w:hAnsi="Calibri" w:cs="Calibri"/>
          <w:color w:val="000000" w:themeColor="text1"/>
          <w:sz w:val="28"/>
          <w:szCs w:val="28"/>
        </w:rPr>
        <w:t>eq</w:t>
      </w:r>
      <w:r w:rsidRPr="002E4AC4">
        <w:rPr>
          <w:rFonts w:ascii="Calibri" w:hAnsi="Calibri" w:cs="Calibri"/>
          <w:color w:val="000000" w:themeColor="text1"/>
          <w:sz w:val="28"/>
          <w:szCs w:val="28"/>
        </w:rPr>
        <w:t>ui</w:t>
      </w:r>
      <w:r w:rsidR="002E4AC4" w:rsidRPr="002E4AC4">
        <w:rPr>
          <w:rFonts w:ascii="Calibri" w:hAnsi="Calibri" w:cs="Calibri"/>
          <w:color w:val="000000" w:themeColor="text1"/>
          <w:sz w:val="28"/>
          <w:szCs w:val="28"/>
        </w:rPr>
        <w:t>r</w:t>
      </w:r>
      <w:r w:rsidRPr="002E4AC4">
        <w:rPr>
          <w:rFonts w:ascii="Calibri" w:hAnsi="Calibri" w:cs="Calibri"/>
          <w:color w:val="000000" w:themeColor="text1"/>
          <w:sz w:val="28"/>
          <w:szCs w:val="28"/>
        </w:rPr>
        <w:t>ed to</w:t>
      </w:r>
      <w:r w:rsidR="002E4AC4" w:rsidRPr="002E4AC4">
        <w:rPr>
          <w:rFonts w:ascii="Calibri" w:hAnsi="Calibri" w:cs="Calibri"/>
          <w:color w:val="000000" w:themeColor="text1"/>
          <w:sz w:val="28"/>
          <w:szCs w:val="28"/>
        </w:rPr>
        <w:t xml:space="preserve"> </w:t>
      </w:r>
      <w:r w:rsidRPr="002E4AC4">
        <w:rPr>
          <w:rFonts w:ascii="Calibri" w:hAnsi="Calibri" w:cs="Calibri"/>
          <w:color w:val="000000" w:themeColor="text1"/>
          <w:sz w:val="28"/>
          <w:szCs w:val="28"/>
        </w:rPr>
        <w:t xml:space="preserve">import meanings not apparent on the face of </w:t>
      </w:r>
      <w:r w:rsidR="002E4AC4" w:rsidRPr="002E4AC4">
        <w:rPr>
          <w:rFonts w:ascii="Calibri" w:hAnsi="Calibri" w:cs="Calibri"/>
          <w:color w:val="000000" w:themeColor="text1"/>
          <w:sz w:val="28"/>
          <w:szCs w:val="28"/>
        </w:rPr>
        <w:t>t</w:t>
      </w:r>
      <w:r w:rsidRPr="002E4AC4">
        <w:rPr>
          <w:rFonts w:ascii="Calibri" w:hAnsi="Calibri" w:cs="Calibri"/>
          <w:color w:val="000000" w:themeColor="text1"/>
          <w:sz w:val="28"/>
          <w:szCs w:val="28"/>
        </w:rPr>
        <w:t>he deed when it</w:t>
      </w:r>
      <w:r w:rsidR="002E4AC4" w:rsidRPr="002E4AC4">
        <w:rPr>
          <w:rFonts w:ascii="Calibri" w:hAnsi="Calibri" w:cs="Calibri"/>
          <w:color w:val="000000" w:themeColor="text1"/>
          <w:sz w:val="28"/>
          <w:szCs w:val="28"/>
        </w:rPr>
        <w:t xml:space="preserve"> </w:t>
      </w:r>
      <w:r w:rsidRPr="002E4AC4">
        <w:rPr>
          <w:rFonts w:ascii="Calibri" w:hAnsi="Calibri" w:cs="Calibri"/>
          <w:color w:val="000000" w:themeColor="text1"/>
          <w:sz w:val="28"/>
          <w:szCs w:val="28"/>
        </w:rPr>
        <w:t>determined the parties' intent</w:t>
      </w:r>
      <w:r w:rsidR="002E4AC4">
        <w:rPr>
          <w:rFonts w:ascii="Calibri" w:hAnsi="Calibri" w:cs="Calibri"/>
          <w:color w:val="000000" w:themeColor="text1"/>
          <w:sz w:val="28"/>
          <w:szCs w:val="28"/>
        </w:rPr>
        <w:t>.</w:t>
      </w:r>
    </w:p>
    <w:p w14:paraId="3F1EBA8E" w14:textId="7987C6A5" w:rsidR="002E4AC4" w:rsidRPr="00214996" w:rsidRDefault="00345E8C" w:rsidP="002E4AC4">
      <w:pPr>
        <w:pStyle w:val="ListParagraph"/>
        <w:autoSpaceDE w:val="0"/>
        <w:autoSpaceDN w:val="0"/>
        <w:adjustRightInd w:val="0"/>
        <w:jc w:val="both"/>
        <w:rPr>
          <w:rFonts w:ascii="Calibri" w:hAnsi="Calibri" w:cs="Calibri"/>
          <w:color w:val="000000" w:themeColor="text1"/>
          <w:sz w:val="10"/>
          <w:szCs w:val="10"/>
        </w:rPr>
      </w:pPr>
      <w:r w:rsidRPr="00214996">
        <w:rPr>
          <w:rFonts w:ascii="Calibri" w:hAnsi="Calibri" w:cs="Calibri"/>
          <w:color w:val="000000" w:themeColor="text1"/>
          <w:sz w:val="10"/>
          <w:szCs w:val="10"/>
        </w:rPr>
        <w:t xml:space="preserve"> </w:t>
      </w:r>
    </w:p>
    <w:p w14:paraId="6725C59A" w14:textId="7495A290" w:rsidR="00345E8C" w:rsidRPr="002E4AC4" w:rsidRDefault="002E4AC4" w:rsidP="00792085">
      <w:pPr>
        <w:pStyle w:val="ListParagraph"/>
        <w:numPr>
          <w:ilvl w:val="0"/>
          <w:numId w:val="3"/>
        </w:numPr>
        <w:autoSpaceDE w:val="0"/>
        <w:autoSpaceDN w:val="0"/>
        <w:adjustRightInd w:val="0"/>
        <w:jc w:val="both"/>
        <w:rPr>
          <w:rFonts w:ascii="Calibri" w:hAnsi="Calibri" w:cs="Calibri"/>
          <w:color w:val="000000" w:themeColor="text1"/>
          <w:sz w:val="28"/>
          <w:szCs w:val="28"/>
        </w:rPr>
      </w:pPr>
      <w:r>
        <w:rPr>
          <w:rFonts w:ascii="Calibri" w:hAnsi="Calibri" w:cs="Calibri"/>
          <w:color w:val="000000" w:themeColor="text1"/>
          <w:sz w:val="28"/>
          <w:szCs w:val="28"/>
        </w:rPr>
        <w:t xml:space="preserve">The ruling of the trial court is thereby </w:t>
      </w:r>
      <w:proofErr w:type="gramStart"/>
      <w:r w:rsidR="00345E8C" w:rsidRPr="002E4AC4">
        <w:rPr>
          <w:rFonts w:ascii="Calibri" w:hAnsi="Calibri" w:cs="Calibri"/>
          <w:color w:val="000000" w:themeColor="text1"/>
          <w:sz w:val="28"/>
          <w:szCs w:val="28"/>
        </w:rPr>
        <w:t>Affirmed</w:t>
      </w:r>
      <w:proofErr w:type="gramEnd"/>
      <w:r w:rsidR="00345E8C" w:rsidRPr="002E4AC4">
        <w:rPr>
          <w:rFonts w:ascii="Calibri" w:hAnsi="Calibri" w:cs="Calibri"/>
          <w:color w:val="000000" w:themeColor="text1"/>
          <w:sz w:val="28"/>
          <w:szCs w:val="28"/>
        </w:rPr>
        <w:t>.</w:t>
      </w:r>
    </w:p>
    <w:p w14:paraId="2496D87F" w14:textId="77777777" w:rsidR="002E4AC4" w:rsidRDefault="002E4AC4" w:rsidP="00345E8C">
      <w:pPr>
        <w:autoSpaceDE w:val="0"/>
        <w:autoSpaceDN w:val="0"/>
        <w:adjustRightInd w:val="0"/>
        <w:jc w:val="both"/>
        <w:rPr>
          <w:rFonts w:ascii="Calibri" w:hAnsi="Calibri" w:cs="Calibri"/>
          <w:b/>
          <w:bCs/>
          <w:color w:val="000000" w:themeColor="text1"/>
          <w:sz w:val="28"/>
          <w:szCs w:val="28"/>
        </w:rPr>
      </w:pPr>
    </w:p>
    <w:p w14:paraId="24A2436C" w14:textId="12C6F79B" w:rsidR="00214996" w:rsidRDefault="00F73FA9" w:rsidP="00345E8C">
      <w:pPr>
        <w:autoSpaceDE w:val="0"/>
        <w:autoSpaceDN w:val="0"/>
        <w:adjustRightInd w:val="0"/>
        <w:jc w:val="both"/>
        <w:rPr>
          <w:rFonts w:ascii="Calibri" w:hAnsi="Calibri" w:cs="Calibri"/>
          <w:b/>
          <w:bCs/>
          <w:color w:val="000000" w:themeColor="text1"/>
          <w:sz w:val="28"/>
          <w:szCs w:val="28"/>
        </w:rPr>
      </w:pPr>
      <w:r>
        <w:rPr>
          <w:rFonts w:ascii="Calibri" w:hAnsi="Calibri" w:cs="Calibri"/>
          <w:b/>
          <w:bCs/>
          <w:color w:val="000000" w:themeColor="text1"/>
          <w:sz w:val="28"/>
          <w:szCs w:val="28"/>
        </w:rPr>
        <w:t>FINAL NOTE</w:t>
      </w:r>
      <w:r w:rsidRPr="00C41548">
        <w:rPr>
          <w:rFonts w:ascii="Calibri" w:hAnsi="Calibri" w:cs="Calibri"/>
          <w:b/>
          <w:bCs/>
          <w:color w:val="000000" w:themeColor="text1"/>
          <w:sz w:val="28"/>
          <w:szCs w:val="28"/>
        </w:rPr>
        <w:t xml:space="preserve">: </w:t>
      </w:r>
      <w:bookmarkStart w:id="2" w:name="_GoBack"/>
      <w:bookmarkEnd w:id="2"/>
    </w:p>
    <w:p w14:paraId="4B463ED2" w14:textId="77777777" w:rsidR="00214996" w:rsidRPr="00214996" w:rsidRDefault="00214996" w:rsidP="00345E8C">
      <w:pPr>
        <w:autoSpaceDE w:val="0"/>
        <w:autoSpaceDN w:val="0"/>
        <w:adjustRightInd w:val="0"/>
        <w:jc w:val="both"/>
        <w:rPr>
          <w:rFonts w:ascii="Calibri" w:hAnsi="Calibri" w:cs="Calibri"/>
          <w:b/>
          <w:bCs/>
          <w:color w:val="000000" w:themeColor="text1"/>
          <w:sz w:val="10"/>
          <w:szCs w:val="10"/>
        </w:rPr>
      </w:pPr>
    </w:p>
    <w:p w14:paraId="699571DD" w14:textId="000141CE" w:rsidR="00214996" w:rsidRDefault="002E4AC4" w:rsidP="00345E8C">
      <w:pPr>
        <w:autoSpaceDE w:val="0"/>
        <w:autoSpaceDN w:val="0"/>
        <w:adjustRightInd w:val="0"/>
        <w:jc w:val="both"/>
        <w:rPr>
          <w:rFonts w:ascii="Calibri" w:hAnsi="Calibri" w:cs="Calibri"/>
          <w:color w:val="000000" w:themeColor="text1"/>
          <w:sz w:val="28"/>
          <w:szCs w:val="28"/>
        </w:rPr>
      </w:pPr>
      <w:r>
        <w:rPr>
          <w:rFonts w:ascii="Calibri" w:hAnsi="Calibri" w:cs="Calibri"/>
          <w:color w:val="000000" w:themeColor="text1"/>
          <w:sz w:val="28"/>
          <w:szCs w:val="28"/>
        </w:rPr>
        <w:t>Hammo</w:t>
      </w:r>
      <w:r w:rsidR="00345E8C" w:rsidRPr="00C41548">
        <w:rPr>
          <w:rFonts w:ascii="Calibri" w:hAnsi="Calibri" w:cs="Calibri"/>
          <w:color w:val="000000" w:themeColor="text1"/>
          <w:sz w:val="28"/>
          <w:szCs w:val="28"/>
        </w:rPr>
        <w:t xml:space="preserve">nd had argued </w:t>
      </w:r>
      <w:r>
        <w:rPr>
          <w:rFonts w:ascii="Calibri" w:hAnsi="Calibri" w:cs="Calibri"/>
          <w:color w:val="000000" w:themeColor="text1"/>
          <w:sz w:val="28"/>
          <w:szCs w:val="28"/>
        </w:rPr>
        <w:t>that the</w:t>
      </w:r>
      <w:r w:rsidR="00345E8C" w:rsidRPr="00C41548">
        <w:rPr>
          <w:rFonts w:ascii="Calibri" w:hAnsi="Calibri" w:cs="Calibri"/>
          <w:color w:val="000000" w:themeColor="text1"/>
          <w:sz w:val="28"/>
          <w:szCs w:val="28"/>
        </w:rPr>
        <w:t xml:space="preserve"> Red Hills</w:t>
      </w:r>
      <w:r>
        <w:rPr>
          <w:rFonts w:ascii="Calibri" w:hAnsi="Calibri" w:cs="Calibri"/>
          <w:color w:val="000000" w:themeColor="text1"/>
          <w:sz w:val="28"/>
          <w:szCs w:val="28"/>
        </w:rPr>
        <w:t xml:space="preserve"> Ski Club had </w:t>
      </w:r>
      <w:r w:rsidR="00345E8C" w:rsidRPr="00C41548">
        <w:rPr>
          <w:rFonts w:ascii="Calibri" w:hAnsi="Calibri" w:cs="Calibri"/>
          <w:color w:val="000000" w:themeColor="text1"/>
          <w:sz w:val="28"/>
          <w:szCs w:val="28"/>
        </w:rPr>
        <w:t>agreed to pr</w:t>
      </w:r>
      <w:r>
        <w:rPr>
          <w:rFonts w:ascii="Calibri" w:hAnsi="Calibri" w:cs="Calibri"/>
          <w:color w:val="000000" w:themeColor="text1"/>
          <w:sz w:val="28"/>
          <w:szCs w:val="28"/>
        </w:rPr>
        <w:t>ovide</w:t>
      </w:r>
      <w:r w:rsidR="00345E8C" w:rsidRPr="00C41548">
        <w:rPr>
          <w:rFonts w:ascii="Calibri" w:hAnsi="Calibri" w:cs="Calibri"/>
          <w:color w:val="000000" w:themeColor="text1"/>
          <w:sz w:val="28"/>
          <w:szCs w:val="28"/>
        </w:rPr>
        <w:t xml:space="preserve"> a rope </w:t>
      </w:r>
      <w:r>
        <w:rPr>
          <w:rFonts w:ascii="Calibri" w:hAnsi="Calibri" w:cs="Calibri"/>
          <w:color w:val="000000" w:themeColor="text1"/>
          <w:sz w:val="28"/>
          <w:szCs w:val="28"/>
        </w:rPr>
        <w:t>tow and ski instructi</w:t>
      </w:r>
      <w:r w:rsidR="00345E8C" w:rsidRPr="00C41548">
        <w:rPr>
          <w:rFonts w:ascii="Calibri" w:hAnsi="Calibri" w:cs="Calibri"/>
          <w:color w:val="000000" w:themeColor="text1"/>
          <w:sz w:val="28"/>
          <w:szCs w:val="28"/>
        </w:rPr>
        <w:t>on</w:t>
      </w:r>
      <w:r>
        <w:rPr>
          <w:rFonts w:ascii="Calibri" w:hAnsi="Calibri" w:cs="Calibri"/>
          <w:color w:val="000000" w:themeColor="text1"/>
          <w:sz w:val="28"/>
          <w:szCs w:val="28"/>
        </w:rPr>
        <w:t xml:space="preserve"> at the property</w:t>
      </w:r>
      <w:r w:rsidR="00345E8C" w:rsidRPr="00C41548">
        <w:rPr>
          <w:rFonts w:ascii="Calibri" w:hAnsi="Calibri" w:cs="Calibri"/>
          <w:color w:val="000000" w:themeColor="text1"/>
          <w:sz w:val="28"/>
          <w:szCs w:val="28"/>
        </w:rPr>
        <w:t xml:space="preserve">. </w:t>
      </w:r>
      <w:r>
        <w:rPr>
          <w:rFonts w:ascii="Calibri" w:hAnsi="Calibri" w:cs="Calibri"/>
          <w:color w:val="000000" w:themeColor="text1"/>
          <w:sz w:val="28"/>
          <w:szCs w:val="28"/>
        </w:rPr>
        <w:t xml:space="preserve"> </w:t>
      </w:r>
      <w:proofErr w:type="gramStart"/>
      <w:r>
        <w:rPr>
          <w:rFonts w:ascii="Calibri" w:hAnsi="Calibri" w:cs="Calibri"/>
          <w:color w:val="000000" w:themeColor="text1"/>
          <w:sz w:val="28"/>
          <w:szCs w:val="28"/>
        </w:rPr>
        <w:t>But</w:t>
      </w:r>
      <w:proofErr w:type="gramEnd"/>
      <w:r>
        <w:rPr>
          <w:rFonts w:ascii="Calibri" w:hAnsi="Calibri" w:cs="Calibri"/>
          <w:color w:val="000000" w:themeColor="text1"/>
          <w:sz w:val="28"/>
          <w:szCs w:val="28"/>
        </w:rPr>
        <w:t xml:space="preserve"> the </w:t>
      </w:r>
      <w:r w:rsidR="00345E8C" w:rsidRPr="00C41548">
        <w:rPr>
          <w:rFonts w:ascii="Calibri" w:hAnsi="Calibri" w:cs="Calibri"/>
          <w:color w:val="000000" w:themeColor="text1"/>
          <w:sz w:val="28"/>
          <w:szCs w:val="28"/>
        </w:rPr>
        <w:t>court app</w:t>
      </w:r>
      <w:r>
        <w:rPr>
          <w:rFonts w:ascii="Calibri" w:hAnsi="Calibri" w:cs="Calibri"/>
          <w:color w:val="000000" w:themeColor="text1"/>
          <w:sz w:val="28"/>
          <w:szCs w:val="28"/>
        </w:rPr>
        <w:t>lied the rule of strict</w:t>
      </w:r>
      <w:r w:rsidR="00345E8C" w:rsidRPr="00C41548">
        <w:rPr>
          <w:rFonts w:ascii="Calibri" w:hAnsi="Calibri" w:cs="Calibri"/>
          <w:color w:val="000000" w:themeColor="text1"/>
          <w:sz w:val="28"/>
          <w:szCs w:val="28"/>
        </w:rPr>
        <w:t xml:space="preserve"> construction, </w:t>
      </w:r>
      <w:r>
        <w:rPr>
          <w:rFonts w:ascii="Calibri" w:hAnsi="Calibri" w:cs="Calibri"/>
          <w:color w:val="000000" w:themeColor="text1"/>
          <w:sz w:val="28"/>
          <w:szCs w:val="28"/>
        </w:rPr>
        <w:t xml:space="preserve">limiting the condition </w:t>
      </w:r>
      <w:r w:rsidR="00345E8C" w:rsidRPr="00C41548">
        <w:rPr>
          <w:rFonts w:ascii="Calibri" w:hAnsi="Calibri" w:cs="Calibri"/>
          <w:color w:val="000000" w:themeColor="text1"/>
          <w:sz w:val="28"/>
          <w:szCs w:val="28"/>
        </w:rPr>
        <w:t xml:space="preserve">subsequent </w:t>
      </w:r>
      <w:r>
        <w:rPr>
          <w:rFonts w:ascii="Calibri" w:hAnsi="Calibri" w:cs="Calibri"/>
          <w:color w:val="000000" w:themeColor="text1"/>
          <w:sz w:val="28"/>
          <w:szCs w:val="28"/>
        </w:rPr>
        <w:t>t</w:t>
      </w:r>
      <w:r w:rsidR="00345E8C" w:rsidRPr="00C41548">
        <w:rPr>
          <w:rFonts w:ascii="Calibri" w:hAnsi="Calibri" w:cs="Calibri"/>
          <w:color w:val="000000" w:themeColor="text1"/>
          <w:sz w:val="28"/>
          <w:szCs w:val="28"/>
        </w:rPr>
        <w:t xml:space="preserve">o the </w:t>
      </w:r>
      <w:r>
        <w:rPr>
          <w:rFonts w:ascii="Calibri" w:hAnsi="Calibri" w:cs="Calibri"/>
          <w:color w:val="000000" w:themeColor="text1"/>
          <w:sz w:val="28"/>
          <w:szCs w:val="28"/>
        </w:rPr>
        <w:t>expr</w:t>
      </w:r>
      <w:r w:rsidR="00345E8C" w:rsidRPr="00C41548">
        <w:rPr>
          <w:rFonts w:ascii="Calibri" w:hAnsi="Calibri" w:cs="Calibri"/>
          <w:color w:val="000000" w:themeColor="text1"/>
          <w:sz w:val="28"/>
          <w:szCs w:val="28"/>
        </w:rPr>
        <w:t xml:space="preserve">ess words </w:t>
      </w:r>
      <w:r>
        <w:rPr>
          <w:rFonts w:ascii="Calibri" w:hAnsi="Calibri" w:cs="Calibri"/>
          <w:color w:val="000000" w:themeColor="text1"/>
          <w:sz w:val="28"/>
          <w:szCs w:val="28"/>
        </w:rPr>
        <w:t xml:space="preserve">contained in </w:t>
      </w:r>
      <w:r w:rsidR="00345E8C" w:rsidRPr="00C41548">
        <w:rPr>
          <w:rFonts w:ascii="Calibri" w:hAnsi="Calibri" w:cs="Calibri"/>
          <w:color w:val="000000" w:themeColor="text1"/>
          <w:sz w:val="28"/>
          <w:szCs w:val="28"/>
        </w:rPr>
        <w:t xml:space="preserve">the </w:t>
      </w:r>
      <w:r w:rsidR="00214996">
        <w:rPr>
          <w:rFonts w:ascii="Calibri" w:hAnsi="Calibri" w:cs="Calibri"/>
          <w:color w:val="000000" w:themeColor="text1"/>
          <w:sz w:val="28"/>
          <w:szCs w:val="28"/>
        </w:rPr>
        <w:t>de</w:t>
      </w:r>
      <w:r w:rsidR="00345E8C" w:rsidRPr="00C41548">
        <w:rPr>
          <w:rFonts w:ascii="Calibri" w:hAnsi="Calibri" w:cs="Calibri"/>
          <w:color w:val="000000" w:themeColor="text1"/>
          <w:sz w:val="28"/>
          <w:szCs w:val="28"/>
        </w:rPr>
        <w:t xml:space="preserve">ed. </w:t>
      </w:r>
    </w:p>
    <w:p w14:paraId="5820A53E" w14:textId="77777777" w:rsidR="00214996" w:rsidRPr="00214996" w:rsidRDefault="00214996" w:rsidP="00345E8C">
      <w:pPr>
        <w:autoSpaceDE w:val="0"/>
        <w:autoSpaceDN w:val="0"/>
        <w:adjustRightInd w:val="0"/>
        <w:jc w:val="both"/>
        <w:rPr>
          <w:rFonts w:ascii="Calibri" w:hAnsi="Calibri" w:cs="Calibri"/>
          <w:color w:val="000000" w:themeColor="text1"/>
          <w:sz w:val="10"/>
          <w:szCs w:val="10"/>
        </w:rPr>
      </w:pPr>
    </w:p>
    <w:p w14:paraId="4639A19F" w14:textId="4AD1D145" w:rsidR="00345E8C" w:rsidRPr="00C41548" w:rsidRDefault="00345E8C" w:rsidP="00F73FA9">
      <w:pPr>
        <w:autoSpaceDE w:val="0"/>
        <w:autoSpaceDN w:val="0"/>
        <w:adjustRightInd w:val="0"/>
        <w:jc w:val="both"/>
        <w:rPr>
          <w:rFonts w:ascii="Calibri" w:hAnsi="Calibri" w:cs="Calibri"/>
          <w:color w:val="000000" w:themeColor="text1"/>
          <w:sz w:val="28"/>
          <w:szCs w:val="28"/>
        </w:rPr>
      </w:pPr>
      <w:r w:rsidRPr="00C41548">
        <w:rPr>
          <w:rFonts w:ascii="Calibri" w:hAnsi="Calibri" w:cs="Calibri"/>
          <w:color w:val="000000" w:themeColor="text1"/>
          <w:sz w:val="28"/>
          <w:szCs w:val="28"/>
        </w:rPr>
        <w:t xml:space="preserve">Other </w:t>
      </w:r>
      <w:r w:rsidR="00214996">
        <w:rPr>
          <w:rFonts w:ascii="Calibri" w:hAnsi="Calibri" w:cs="Calibri"/>
          <w:color w:val="000000" w:themeColor="text1"/>
          <w:sz w:val="28"/>
          <w:szCs w:val="28"/>
        </w:rPr>
        <w:t xml:space="preserve">jurisdictions </w:t>
      </w:r>
      <w:r w:rsidRPr="00C41548">
        <w:rPr>
          <w:rFonts w:ascii="Calibri" w:hAnsi="Calibri" w:cs="Calibri"/>
          <w:color w:val="000000" w:themeColor="text1"/>
          <w:sz w:val="28"/>
          <w:szCs w:val="28"/>
        </w:rPr>
        <w:t>have made similar rulings because a forfei</w:t>
      </w:r>
      <w:r w:rsidR="00214996">
        <w:rPr>
          <w:rFonts w:ascii="Calibri" w:hAnsi="Calibri" w:cs="Calibri"/>
          <w:color w:val="000000" w:themeColor="text1"/>
          <w:sz w:val="28"/>
          <w:szCs w:val="28"/>
        </w:rPr>
        <w:t>ture is</w:t>
      </w:r>
      <w:r w:rsidRPr="00C41548">
        <w:rPr>
          <w:rFonts w:ascii="Calibri" w:hAnsi="Calibri" w:cs="Calibri"/>
          <w:color w:val="000000" w:themeColor="text1"/>
          <w:sz w:val="28"/>
          <w:szCs w:val="28"/>
        </w:rPr>
        <w:t xml:space="preserve"> considered </w:t>
      </w:r>
      <w:proofErr w:type="gramStart"/>
      <w:r w:rsidR="00F73FA9">
        <w:rPr>
          <w:rFonts w:ascii="Calibri" w:hAnsi="Calibri" w:cs="Calibri"/>
          <w:color w:val="000000" w:themeColor="text1"/>
          <w:sz w:val="28"/>
          <w:szCs w:val="28"/>
        </w:rPr>
        <w:t xml:space="preserve">to be </w:t>
      </w:r>
      <w:r w:rsidRPr="00C41548">
        <w:rPr>
          <w:rFonts w:ascii="Calibri" w:hAnsi="Calibri" w:cs="Calibri"/>
          <w:color w:val="000000" w:themeColor="text1"/>
          <w:sz w:val="28"/>
          <w:szCs w:val="28"/>
        </w:rPr>
        <w:t>a</w:t>
      </w:r>
      <w:proofErr w:type="gramEnd"/>
      <w:r w:rsidRPr="00C41548">
        <w:rPr>
          <w:rFonts w:ascii="Calibri" w:hAnsi="Calibri" w:cs="Calibri"/>
          <w:color w:val="000000" w:themeColor="text1"/>
          <w:sz w:val="28"/>
          <w:szCs w:val="28"/>
        </w:rPr>
        <w:t xml:space="preserve"> drastic </w:t>
      </w:r>
      <w:r w:rsidR="00F73FA9">
        <w:rPr>
          <w:rFonts w:ascii="Calibri" w:hAnsi="Calibri" w:cs="Calibri"/>
          <w:color w:val="000000" w:themeColor="text1"/>
          <w:sz w:val="28"/>
          <w:szCs w:val="28"/>
        </w:rPr>
        <w:t>reme</w:t>
      </w:r>
      <w:r w:rsidRPr="00C41548">
        <w:rPr>
          <w:rFonts w:ascii="Calibri" w:hAnsi="Calibri" w:cs="Calibri"/>
          <w:color w:val="000000" w:themeColor="text1"/>
          <w:sz w:val="28"/>
          <w:szCs w:val="28"/>
        </w:rPr>
        <w:t xml:space="preserve">dy to be </w:t>
      </w:r>
      <w:r w:rsidR="00F73FA9">
        <w:rPr>
          <w:rFonts w:ascii="Calibri" w:hAnsi="Calibri" w:cs="Calibri"/>
          <w:color w:val="000000" w:themeColor="text1"/>
          <w:sz w:val="28"/>
          <w:szCs w:val="28"/>
        </w:rPr>
        <w:t>avoide</w:t>
      </w:r>
      <w:r w:rsidRPr="00C41548">
        <w:rPr>
          <w:rFonts w:ascii="Calibri" w:hAnsi="Calibri" w:cs="Calibri"/>
          <w:color w:val="000000" w:themeColor="text1"/>
          <w:sz w:val="28"/>
          <w:szCs w:val="28"/>
        </w:rPr>
        <w:t>d i</w:t>
      </w:r>
      <w:r w:rsidR="00F73FA9">
        <w:rPr>
          <w:rFonts w:ascii="Calibri" w:hAnsi="Calibri" w:cs="Calibri"/>
          <w:color w:val="000000" w:themeColor="text1"/>
          <w:sz w:val="28"/>
          <w:szCs w:val="28"/>
        </w:rPr>
        <w:t>f</w:t>
      </w:r>
      <w:r w:rsidRPr="00C41548">
        <w:rPr>
          <w:rFonts w:ascii="Calibri" w:hAnsi="Calibri" w:cs="Calibri"/>
          <w:color w:val="000000" w:themeColor="text1"/>
          <w:sz w:val="28"/>
          <w:szCs w:val="28"/>
        </w:rPr>
        <w:t xml:space="preserve"> at all </w:t>
      </w:r>
      <w:r w:rsidR="00F73FA9">
        <w:rPr>
          <w:rFonts w:ascii="Calibri" w:hAnsi="Calibri" w:cs="Calibri"/>
          <w:color w:val="000000" w:themeColor="text1"/>
          <w:sz w:val="28"/>
          <w:szCs w:val="28"/>
        </w:rPr>
        <w:t>possible</w:t>
      </w:r>
      <w:r w:rsidRPr="00C41548">
        <w:rPr>
          <w:rFonts w:ascii="Calibri" w:hAnsi="Calibri" w:cs="Calibri"/>
          <w:color w:val="000000" w:themeColor="text1"/>
          <w:sz w:val="28"/>
          <w:szCs w:val="28"/>
        </w:rPr>
        <w:t>.</w:t>
      </w:r>
    </w:p>
    <w:p w14:paraId="44D59BDB" w14:textId="51C8F77A" w:rsidR="00345E8C" w:rsidRDefault="00345E8C" w:rsidP="000B22E5">
      <w:pPr>
        <w:jc w:val="both"/>
        <w:rPr>
          <w:rFonts w:ascii="Calibri" w:eastAsia="Times New Roman" w:hAnsi="Calibri" w:cs="Calibri"/>
          <w:b/>
          <w:sz w:val="28"/>
          <w:szCs w:val="28"/>
        </w:rPr>
      </w:pPr>
    </w:p>
    <w:p w14:paraId="25CAD1C6" w14:textId="77777777" w:rsidR="00345E8C" w:rsidRDefault="00345E8C" w:rsidP="000B22E5">
      <w:pPr>
        <w:jc w:val="both"/>
        <w:rPr>
          <w:rFonts w:ascii="Calibri" w:eastAsia="Times New Roman" w:hAnsi="Calibri" w:cs="Calibri"/>
          <w:b/>
          <w:sz w:val="28"/>
          <w:szCs w:val="28"/>
        </w:rPr>
      </w:pPr>
    </w:p>
    <w:p w14:paraId="5A6B20AC" w14:textId="08E1E05D" w:rsidR="005F76F0" w:rsidRPr="000B22E5" w:rsidRDefault="005F76F0" w:rsidP="000B22E5">
      <w:pPr>
        <w:jc w:val="both"/>
        <w:rPr>
          <w:rFonts w:ascii="Calibri" w:hAnsi="Calibri" w:cs="Calibri"/>
          <w:sz w:val="28"/>
          <w:szCs w:val="28"/>
        </w:rPr>
      </w:pPr>
    </w:p>
    <w:sectPr w:rsidR="005F76F0" w:rsidRPr="000B22E5" w:rsidSect="008834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D0641"/>
    <w:multiLevelType w:val="multilevel"/>
    <w:tmpl w:val="4692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4D182A"/>
    <w:multiLevelType w:val="hybridMultilevel"/>
    <w:tmpl w:val="E614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5E7AE8"/>
    <w:multiLevelType w:val="hybridMultilevel"/>
    <w:tmpl w:val="DFC4E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61"/>
    <w:rsid w:val="000B22E5"/>
    <w:rsid w:val="001F02EC"/>
    <w:rsid w:val="00214996"/>
    <w:rsid w:val="002E4AC4"/>
    <w:rsid w:val="00345E8C"/>
    <w:rsid w:val="004F349D"/>
    <w:rsid w:val="005B01D3"/>
    <w:rsid w:val="005F76F0"/>
    <w:rsid w:val="0060334F"/>
    <w:rsid w:val="00883466"/>
    <w:rsid w:val="00904A52"/>
    <w:rsid w:val="0092256E"/>
    <w:rsid w:val="00A10461"/>
    <w:rsid w:val="00A83DC5"/>
    <w:rsid w:val="00AE5B9A"/>
    <w:rsid w:val="00B760C9"/>
    <w:rsid w:val="00BF3329"/>
    <w:rsid w:val="00D96D92"/>
    <w:rsid w:val="00E40363"/>
    <w:rsid w:val="00F73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A7B8"/>
  <w15:chartTrackingRefBased/>
  <w15:docId w15:val="{92A233E0-787D-455A-9BC1-ABFFB5E5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B22E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DC5"/>
    <w:pPr>
      <w:ind w:left="720"/>
      <w:contextualSpacing/>
    </w:pPr>
  </w:style>
  <w:style w:type="paragraph" w:styleId="NormalWeb">
    <w:name w:val="Normal (Web)"/>
    <w:basedOn w:val="Normal"/>
    <w:uiPriority w:val="99"/>
    <w:semiHidden/>
    <w:unhideWhenUsed/>
    <w:rsid w:val="005F76F0"/>
    <w:pPr>
      <w:spacing w:before="100" w:beforeAutospacing="1" w:after="100" w:afterAutospacing="1"/>
    </w:pPr>
    <w:rPr>
      <w:rFonts w:ascii="Times New Roman" w:eastAsia="Times New Roman" w:hAnsi="Times New Roman" w:cs="Times New Roman"/>
    </w:rPr>
  </w:style>
  <w:style w:type="character" w:customStyle="1" w:styleId="heading">
    <w:name w:val="heading"/>
    <w:basedOn w:val="DefaultParagraphFont"/>
    <w:rsid w:val="005F76F0"/>
  </w:style>
  <w:style w:type="character" w:customStyle="1" w:styleId="Heading3Char">
    <w:name w:val="Heading 3 Char"/>
    <w:basedOn w:val="DefaultParagraphFont"/>
    <w:link w:val="Heading3"/>
    <w:uiPriority w:val="9"/>
    <w:rsid w:val="000B22E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331817">
      <w:bodyDiv w:val="1"/>
      <w:marLeft w:val="0"/>
      <w:marRight w:val="0"/>
      <w:marTop w:val="0"/>
      <w:marBottom w:val="0"/>
      <w:divBdr>
        <w:top w:val="none" w:sz="0" w:space="0" w:color="auto"/>
        <w:left w:val="none" w:sz="0" w:space="0" w:color="auto"/>
        <w:bottom w:val="none" w:sz="0" w:space="0" w:color="auto"/>
        <w:right w:val="none" w:sz="0" w:space="0" w:color="auto"/>
      </w:divBdr>
      <w:divsChild>
        <w:div w:id="168646242">
          <w:marLeft w:val="0"/>
          <w:marRight w:val="0"/>
          <w:marTop w:val="0"/>
          <w:marBottom w:val="0"/>
          <w:divBdr>
            <w:top w:val="none" w:sz="0" w:space="0" w:color="auto"/>
            <w:left w:val="none" w:sz="0" w:space="0" w:color="auto"/>
            <w:bottom w:val="none" w:sz="0" w:space="0" w:color="auto"/>
            <w:right w:val="none" w:sz="0" w:space="0" w:color="auto"/>
          </w:divBdr>
          <w:divsChild>
            <w:div w:id="3750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86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senateuser</dc:creator>
  <cp:keywords/>
  <dc:description/>
  <cp:lastModifiedBy>Robert Farley</cp:lastModifiedBy>
  <cp:revision>2</cp:revision>
  <dcterms:created xsi:type="dcterms:W3CDTF">2018-11-08T21:00:00Z</dcterms:created>
  <dcterms:modified xsi:type="dcterms:W3CDTF">2018-11-08T21:00:00Z</dcterms:modified>
</cp:coreProperties>
</file>