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D1" w:rsidRPr="006E37D1" w:rsidRDefault="006E37D1" w:rsidP="006E37D1">
      <w:pPr>
        <w:autoSpaceDE w:val="0"/>
        <w:autoSpaceDN w:val="0"/>
        <w:adjustRightInd w:val="0"/>
        <w:rPr>
          <w:rFonts w:cs="Calibri"/>
          <w:b/>
          <w:bCs/>
          <w:sz w:val="40"/>
          <w:szCs w:val="40"/>
        </w:rPr>
      </w:pPr>
      <w:r w:rsidRPr="006E37D1">
        <w:rPr>
          <w:rFonts w:eastAsia="LiberationSerif" w:cs="Calibri"/>
          <w:b/>
          <w:sz w:val="40"/>
          <w:szCs w:val="40"/>
        </w:rPr>
        <w:t>CHAPTER 1</w:t>
      </w:r>
      <w:r>
        <w:rPr>
          <w:rFonts w:eastAsia="LiberationSerif" w:cs="Calibri"/>
          <w:b/>
          <w:sz w:val="40"/>
          <w:szCs w:val="40"/>
        </w:rPr>
        <w:t xml:space="preserve">: </w:t>
      </w:r>
      <w:r w:rsidRPr="006E37D1">
        <w:rPr>
          <w:rFonts w:eastAsia="LiberationSerif" w:cs="Calibri"/>
          <w:b/>
          <w:bCs/>
          <w:sz w:val="40"/>
          <w:szCs w:val="40"/>
        </w:rPr>
        <w:t>INTRODUCTION</w:t>
      </w:r>
      <w:bookmarkStart w:id="0" w:name="_GoBack"/>
      <w:bookmarkEnd w:id="0"/>
    </w:p>
    <w:p w:rsidR="006E37D1" w:rsidRPr="006E37D1" w:rsidRDefault="006E37D1" w:rsidP="006E37D1">
      <w:pPr>
        <w:autoSpaceDE w:val="0"/>
        <w:autoSpaceDN w:val="0"/>
        <w:adjustRightInd w:val="0"/>
        <w:rPr>
          <w:rFonts w:cs="Calibri"/>
          <w:bCs/>
          <w:i/>
          <w:sz w:val="40"/>
          <w:szCs w:val="40"/>
        </w:rPr>
      </w:pPr>
      <w:r w:rsidRPr="006E37D1">
        <w:rPr>
          <w:rFonts w:cs="Calibri"/>
          <w:bCs/>
          <w:i/>
          <w:sz w:val="40"/>
          <w:szCs w:val="40"/>
        </w:rPr>
        <w:t>I. SOURCES OF PROPERTY LAW</w:t>
      </w:r>
    </w:p>
    <w:p w:rsidR="006E37D1" w:rsidRPr="006E37D1" w:rsidRDefault="006E37D1" w:rsidP="006E37D1">
      <w:pPr>
        <w:autoSpaceDE w:val="0"/>
        <w:autoSpaceDN w:val="0"/>
        <w:adjustRightInd w:val="0"/>
        <w:jc w:val="left"/>
        <w:rPr>
          <w:rFonts w:cs="Calibri"/>
          <w:b/>
          <w:bCs/>
          <w:sz w:val="20"/>
          <w:szCs w:val="20"/>
        </w:rPr>
      </w:pPr>
    </w:p>
    <w:p w:rsidR="006E37D1" w:rsidRDefault="006E37D1" w:rsidP="006E37D1">
      <w:pPr>
        <w:autoSpaceDE w:val="0"/>
        <w:autoSpaceDN w:val="0"/>
        <w:adjustRightInd w:val="0"/>
        <w:jc w:val="both"/>
        <w:rPr>
          <w:rFonts w:cs="Calibri"/>
          <w:b/>
          <w:bCs/>
          <w:sz w:val="32"/>
          <w:szCs w:val="32"/>
        </w:rPr>
      </w:pPr>
      <w:r w:rsidRPr="006E37D1">
        <w:rPr>
          <w:rFonts w:cs="Calibri"/>
          <w:b/>
          <w:bCs/>
          <w:sz w:val="32"/>
          <w:szCs w:val="32"/>
        </w:rPr>
        <w:t xml:space="preserve">A. Cases: 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  <w:szCs w:val="20"/>
        </w:rPr>
      </w:pPr>
    </w:p>
    <w:p w:rsid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6E37D1">
        <w:rPr>
          <w:rFonts w:eastAsia="LiberationSerif" w:cs="Calibri"/>
          <w:sz w:val="32"/>
          <w:szCs w:val="32"/>
        </w:rPr>
        <w:t xml:space="preserve">The principal source of property law is </w:t>
      </w:r>
      <w:r w:rsidRPr="006E37D1">
        <w:rPr>
          <w:rFonts w:cs="Calibri"/>
          <w:b/>
          <w:bCs/>
          <w:i/>
          <w:iCs/>
          <w:sz w:val="32"/>
          <w:szCs w:val="32"/>
        </w:rPr>
        <w:t>case law</w:t>
      </w:r>
      <w:r w:rsidRPr="006E37D1">
        <w:rPr>
          <w:rFonts w:eastAsia="LiberationSerif" w:cs="Calibri"/>
          <w:sz w:val="32"/>
          <w:szCs w:val="32"/>
        </w:rPr>
        <w:t>, i.e., opinions by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judges.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6E37D1">
        <w:rPr>
          <w:rFonts w:eastAsia="LiberationSerif" w:cs="Calibri"/>
          <w:sz w:val="32"/>
          <w:szCs w:val="32"/>
        </w:rPr>
        <w:t xml:space="preserve">Property case law is largely </w:t>
      </w:r>
      <w:r>
        <w:rPr>
          <w:rFonts w:eastAsia="LiberationSerif" w:cs="Calibri"/>
          <w:sz w:val="32"/>
          <w:szCs w:val="32"/>
        </w:rPr>
        <w:t xml:space="preserve">the product of decisions by the </w:t>
      </w:r>
      <w:r w:rsidRPr="006E37D1">
        <w:rPr>
          <w:rFonts w:eastAsia="LiberationSerif" w:cs="Calibri"/>
          <w:sz w:val="32"/>
          <w:szCs w:val="32"/>
        </w:rPr>
        <w:t xml:space="preserve">appellate courts of the individual </w:t>
      </w:r>
      <w:r w:rsidRPr="006E37D1">
        <w:rPr>
          <w:rFonts w:cs="Calibri"/>
          <w:b/>
          <w:bCs/>
          <w:i/>
          <w:iCs/>
          <w:sz w:val="32"/>
          <w:szCs w:val="32"/>
        </w:rPr>
        <w:t>states</w:t>
      </w:r>
      <w:r w:rsidRPr="006E37D1">
        <w:rPr>
          <w:rFonts w:eastAsia="LiberationSerif" w:cs="Calibri"/>
          <w:sz w:val="32"/>
          <w:szCs w:val="32"/>
        </w:rPr>
        <w:t xml:space="preserve">. 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6E37D1">
        <w:rPr>
          <w:rFonts w:eastAsia="LiberationSerif" w:cs="Calibri"/>
          <w:sz w:val="32"/>
          <w:szCs w:val="32"/>
        </w:rPr>
        <w:t>In contrast to many other areas of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the law (e.g., constitutional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law), the state courts are more or less free to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develop their own property case law without interference by the U.S.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Supreme Court. (However, in a few situations, e.g., zoning, constitutional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 xml:space="preserve">issues will arise, and as to </w:t>
      </w:r>
      <w:proofErr w:type="gramStart"/>
      <w:r w:rsidRPr="006E37D1">
        <w:rPr>
          <w:rFonts w:eastAsia="LiberationSerif" w:cs="Calibri"/>
          <w:sz w:val="32"/>
          <w:szCs w:val="32"/>
        </w:rPr>
        <w:t>these</w:t>
      </w:r>
      <w:proofErr w:type="gramEnd"/>
      <w:r w:rsidRPr="006E37D1">
        <w:rPr>
          <w:rFonts w:eastAsia="LiberationSerif" w:cs="Calibri"/>
          <w:sz w:val="32"/>
          <w:szCs w:val="32"/>
        </w:rPr>
        <w:t xml:space="preserve"> the U.S. Supreme Court has the final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word.)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  <w:szCs w:val="20"/>
        </w:rPr>
      </w:pPr>
    </w:p>
    <w:p w:rsidR="006E37D1" w:rsidRDefault="006E37D1" w:rsidP="006E37D1">
      <w:pPr>
        <w:autoSpaceDE w:val="0"/>
        <w:autoSpaceDN w:val="0"/>
        <w:adjustRightInd w:val="0"/>
        <w:jc w:val="both"/>
        <w:rPr>
          <w:rFonts w:cs="Calibri"/>
          <w:b/>
          <w:bCs/>
          <w:sz w:val="32"/>
          <w:szCs w:val="32"/>
        </w:rPr>
      </w:pPr>
      <w:r w:rsidRPr="006E37D1">
        <w:rPr>
          <w:rFonts w:cs="Calibri"/>
          <w:b/>
          <w:bCs/>
          <w:sz w:val="32"/>
          <w:szCs w:val="32"/>
        </w:rPr>
        <w:t xml:space="preserve">B. Statutes: 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  <w:szCs w:val="20"/>
        </w:rPr>
      </w:pPr>
    </w:p>
    <w:p w:rsid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6E37D1">
        <w:rPr>
          <w:rFonts w:eastAsia="LiberationSerif" w:cs="Calibri"/>
          <w:sz w:val="32"/>
          <w:szCs w:val="32"/>
        </w:rPr>
        <w:t xml:space="preserve">Another large body of law is </w:t>
      </w:r>
      <w:r w:rsidRPr="006E37D1">
        <w:rPr>
          <w:rFonts w:cs="Calibri"/>
          <w:b/>
          <w:bCs/>
          <w:i/>
          <w:iCs/>
          <w:sz w:val="32"/>
          <w:szCs w:val="32"/>
        </w:rPr>
        <w:t>state statutes</w:t>
      </w:r>
      <w:r w:rsidRPr="006E37D1">
        <w:rPr>
          <w:rFonts w:eastAsia="LiberationSerif" w:cs="Calibri"/>
          <w:sz w:val="32"/>
          <w:szCs w:val="32"/>
        </w:rPr>
        <w:t xml:space="preserve">. 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>
        <w:rPr>
          <w:rFonts w:eastAsia="LiberationSerif" w:cs="Calibri"/>
          <w:sz w:val="32"/>
          <w:szCs w:val="32"/>
        </w:rPr>
        <w:t xml:space="preserve">The law of property </w:t>
      </w:r>
      <w:proofErr w:type="gramStart"/>
      <w:r w:rsidRPr="006E37D1">
        <w:rPr>
          <w:rFonts w:eastAsia="LiberationSerif" w:cs="Calibri"/>
          <w:sz w:val="32"/>
          <w:szCs w:val="32"/>
        </w:rPr>
        <w:t>has been heavily subjected</w:t>
      </w:r>
      <w:proofErr w:type="gramEnd"/>
      <w:r w:rsidRPr="006E37D1">
        <w:rPr>
          <w:rFonts w:eastAsia="LiberationSerif" w:cs="Calibri"/>
          <w:sz w:val="32"/>
          <w:szCs w:val="32"/>
        </w:rPr>
        <w:t xml:space="preserve"> to statutory modification of the old common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law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principles and there are few property questions that can be answered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proofErr w:type="gramStart"/>
      <w:r w:rsidRPr="006E37D1">
        <w:rPr>
          <w:rFonts w:eastAsia="LiberationSerif" w:cs="Calibri"/>
          <w:sz w:val="32"/>
          <w:szCs w:val="32"/>
        </w:rPr>
        <w:t>wholly</w:t>
      </w:r>
      <w:proofErr w:type="gramEnd"/>
      <w:r w:rsidRPr="006E37D1">
        <w:rPr>
          <w:rFonts w:eastAsia="LiberationSerif" w:cs="Calibri"/>
          <w:sz w:val="32"/>
          <w:szCs w:val="32"/>
        </w:rPr>
        <w:t xml:space="preserve"> without reference to any statute.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  <w:szCs w:val="20"/>
        </w:rPr>
      </w:pPr>
    </w:p>
    <w:p w:rsidR="006E37D1" w:rsidRDefault="006E37D1" w:rsidP="006E37D1">
      <w:pPr>
        <w:autoSpaceDE w:val="0"/>
        <w:autoSpaceDN w:val="0"/>
        <w:adjustRightInd w:val="0"/>
        <w:jc w:val="both"/>
        <w:rPr>
          <w:rFonts w:cs="Calibri"/>
          <w:b/>
          <w:bCs/>
          <w:sz w:val="32"/>
          <w:szCs w:val="32"/>
        </w:rPr>
      </w:pPr>
      <w:r w:rsidRPr="006E37D1">
        <w:rPr>
          <w:rFonts w:cs="Calibri"/>
          <w:b/>
          <w:bCs/>
          <w:sz w:val="32"/>
          <w:szCs w:val="32"/>
        </w:rPr>
        <w:t xml:space="preserve">C. Restatements and model acts: 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  <w:szCs w:val="20"/>
        </w:rPr>
      </w:pPr>
    </w:p>
    <w:p w:rsid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6E37D1">
        <w:rPr>
          <w:rFonts w:eastAsia="LiberationSerif" w:cs="Calibri"/>
          <w:sz w:val="32"/>
          <w:szCs w:val="32"/>
        </w:rPr>
        <w:t xml:space="preserve">A third </w:t>
      </w:r>
      <w:r>
        <w:rPr>
          <w:rFonts w:eastAsia="LiberationSerif" w:cs="Calibri"/>
          <w:sz w:val="32"/>
          <w:szCs w:val="32"/>
        </w:rPr>
        <w:t xml:space="preserve">source of authority consists of </w:t>
      </w:r>
      <w:r w:rsidRPr="006E37D1">
        <w:rPr>
          <w:rFonts w:eastAsia="LiberationSerif" w:cs="Calibri"/>
          <w:sz w:val="32"/>
          <w:szCs w:val="32"/>
        </w:rPr>
        <w:t>secondary materials prepared by law professors and other experts.</w:t>
      </w: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proofErr w:type="gramStart"/>
      <w:r w:rsidRPr="006E37D1">
        <w:rPr>
          <w:rFonts w:eastAsia="LiberationSerif" w:cs="Calibri"/>
          <w:sz w:val="32"/>
          <w:szCs w:val="32"/>
        </w:rPr>
        <w:t xml:space="preserve">Foremost among these are the various Restatements: (1) the </w:t>
      </w:r>
      <w:r>
        <w:rPr>
          <w:rFonts w:cs="Calibri"/>
          <w:b/>
          <w:bCs/>
          <w:i/>
          <w:iCs/>
          <w:sz w:val="32"/>
          <w:szCs w:val="32"/>
        </w:rPr>
        <w:t xml:space="preserve">First </w:t>
      </w:r>
      <w:r w:rsidRPr="006E37D1">
        <w:rPr>
          <w:rFonts w:cs="Calibri"/>
          <w:b/>
          <w:bCs/>
          <w:i/>
          <w:iCs/>
          <w:sz w:val="32"/>
          <w:szCs w:val="32"/>
        </w:rPr>
        <w:t xml:space="preserve">Restatement of Property </w:t>
      </w:r>
      <w:r w:rsidRPr="006E37D1">
        <w:rPr>
          <w:rFonts w:eastAsia="LiberationSerif" w:cs="Calibri"/>
          <w:sz w:val="32"/>
          <w:szCs w:val="32"/>
        </w:rPr>
        <w:t xml:space="preserve">(published beginning in 1936); (2) the </w:t>
      </w:r>
      <w:r w:rsidRPr="006E37D1">
        <w:rPr>
          <w:rFonts w:cs="Calibri"/>
          <w:b/>
          <w:bCs/>
          <w:i/>
          <w:iCs/>
          <w:sz w:val="32"/>
          <w:szCs w:val="32"/>
        </w:rPr>
        <w:t>Second</w:t>
      </w:r>
      <w:r>
        <w:rPr>
          <w:rFonts w:cs="Calibri"/>
          <w:b/>
          <w:bCs/>
          <w:i/>
          <w:iCs/>
          <w:sz w:val="32"/>
          <w:szCs w:val="32"/>
        </w:rPr>
        <w:t xml:space="preserve"> </w:t>
      </w:r>
      <w:r w:rsidRPr="006E37D1">
        <w:rPr>
          <w:rFonts w:cs="Calibri"/>
          <w:b/>
          <w:bCs/>
          <w:i/>
          <w:iCs/>
          <w:sz w:val="32"/>
          <w:szCs w:val="32"/>
        </w:rPr>
        <w:t xml:space="preserve">Restatement of Property </w:t>
      </w:r>
      <w:r w:rsidRPr="006E37D1">
        <w:rPr>
          <w:rFonts w:eastAsia="LiberationSerif" w:cs="Calibri"/>
          <w:sz w:val="32"/>
          <w:szCs w:val="32"/>
        </w:rPr>
        <w:t>(published in 1976, and dealing only with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landlord-tenant law and selected topics under the general title of “Donative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 xml:space="preserve">Transfers”); and (3) the </w:t>
      </w:r>
      <w:r w:rsidRPr="006E37D1">
        <w:rPr>
          <w:rFonts w:cs="Calibri"/>
          <w:b/>
          <w:bCs/>
          <w:i/>
          <w:iCs/>
          <w:sz w:val="32"/>
          <w:szCs w:val="32"/>
        </w:rPr>
        <w:t xml:space="preserve">Third Restatement of Property </w:t>
      </w:r>
      <w:r w:rsidRPr="006E37D1">
        <w:rPr>
          <w:rFonts w:eastAsia="LiberationSerif" w:cs="Calibri"/>
          <w:sz w:val="32"/>
          <w:szCs w:val="32"/>
        </w:rPr>
        <w:t>(published in the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late 1990s and early 2000s, and dealing only with “servitudes” and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mortgages).</w:t>
      </w:r>
      <w:proofErr w:type="gramEnd"/>
    </w:p>
    <w:p w:rsidR="006E37D1" w:rsidRPr="006E37D1" w:rsidRDefault="006E37D1" w:rsidP="006E37D1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  <w:szCs w:val="20"/>
        </w:rPr>
      </w:pPr>
    </w:p>
    <w:p w:rsidR="00C4708B" w:rsidRPr="006E37D1" w:rsidRDefault="006E37D1" w:rsidP="006E37D1">
      <w:pPr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  <w:r w:rsidRPr="006E37D1">
        <w:rPr>
          <w:rFonts w:cs="Calibri"/>
          <w:b/>
          <w:bCs/>
          <w:sz w:val="32"/>
          <w:szCs w:val="32"/>
        </w:rPr>
        <w:t xml:space="preserve">1. Model acts: </w:t>
      </w:r>
      <w:r w:rsidRPr="006E37D1">
        <w:rPr>
          <w:rFonts w:eastAsia="LiberationSerif" w:cs="Calibri"/>
          <w:sz w:val="32"/>
          <w:szCs w:val="32"/>
        </w:rPr>
        <w:t xml:space="preserve">Also, a number of </w:t>
      </w:r>
      <w:r w:rsidRPr="006E37D1">
        <w:rPr>
          <w:rFonts w:cs="Calibri"/>
          <w:b/>
          <w:bCs/>
          <w:i/>
          <w:iCs/>
          <w:sz w:val="32"/>
          <w:szCs w:val="32"/>
        </w:rPr>
        <w:t xml:space="preserve">model statutes </w:t>
      </w:r>
      <w:r w:rsidRPr="006E37D1">
        <w:rPr>
          <w:rFonts w:eastAsia="LiberationSerif" w:cs="Calibri"/>
          <w:sz w:val="32"/>
          <w:szCs w:val="32"/>
        </w:rPr>
        <w:t>have been drafted (e.g.,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the Uniform Residential Landlord-Tenant Act.) These have been enacted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in some states, and are sometimes looked to (on a non-binding basis) by</w:t>
      </w:r>
      <w:r>
        <w:rPr>
          <w:rFonts w:eastAsia="LiberationSerif" w:cs="Calibri"/>
          <w:sz w:val="32"/>
          <w:szCs w:val="32"/>
        </w:rPr>
        <w:t xml:space="preserve"> </w:t>
      </w:r>
      <w:r w:rsidRPr="006E37D1">
        <w:rPr>
          <w:rFonts w:eastAsia="LiberationSerif" w:cs="Calibri"/>
          <w:sz w:val="32"/>
          <w:szCs w:val="32"/>
        </w:rPr>
        <w:t>the courts of other states.</w:t>
      </w:r>
    </w:p>
    <w:sectPr w:rsidR="00C4708B" w:rsidRPr="006E37D1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D1"/>
    <w:rsid w:val="004D6C91"/>
    <w:rsid w:val="006E37D1"/>
    <w:rsid w:val="0093423E"/>
    <w:rsid w:val="00C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702E"/>
  <w15:chartTrackingRefBased/>
  <w15:docId w15:val="{439A9F4B-5804-48A9-9485-D7CF8F35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</cp:revision>
  <dcterms:created xsi:type="dcterms:W3CDTF">2018-08-28T18:08:00Z</dcterms:created>
  <dcterms:modified xsi:type="dcterms:W3CDTF">2018-08-28T18:15:00Z</dcterms:modified>
</cp:coreProperties>
</file>